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66" w:rsidRPr="003E2514" w:rsidRDefault="00014566" w:rsidP="003E2514">
      <w:pPr>
        <w:jc w:val="center"/>
        <w:rPr>
          <w:lang w:val="en-GB"/>
        </w:rPr>
      </w:pPr>
      <w:bookmarkStart w:id="0" w:name="_GoBack"/>
      <w:bookmarkEnd w:id="0"/>
    </w:p>
    <w:p w:rsidR="00AE638B" w:rsidRPr="003E2514" w:rsidRDefault="00AE638B" w:rsidP="003E2514">
      <w:pPr>
        <w:jc w:val="center"/>
        <w:rPr>
          <w:lang w:val="en-GB"/>
        </w:rPr>
      </w:pPr>
    </w:p>
    <w:p w:rsidR="00AE638B" w:rsidRPr="003E2514" w:rsidRDefault="00AE638B" w:rsidP="003E2514">
      <w:pPr>
        <w:jc w:val="center"/>
        <w:rPr>
          <w:lang w:val="en-GB"/>
        </w:rPr>
      </w:pPr>
    </w:p>
    <w:p w:rsidR="00014566" w:rsidRPr="003E2514" w:rsidRDefault="006C0A28" w:rsidP="003E2514">
      <w:pPr>
        <w:jc w:val="center"/>
        <w:rPr>
          <w:lang w:val="en-GB"/>
        </w:rPr>
      </w:pPr>
      <w:r w:rsidRPr="003E2514">
        <w:rPr>
          <w:lang w:val="en-GB"/>
        </w:rPr>
        <w:t>FIRST SECTION</w:t>
      </w:r>
    </w:p>
    <w:p w:rsidR="00014566" w:rsidRPr="003E2514" w:rsidRDefault="00014566" w:rsidP="003E2514">
      <w:pPr>
        <w:jc w:val="center"/>
        <w:rPr>
          <w:lang w:val="en-GB"/>
        </w:rPr>
      </w:pPr>
    </w:p>
    <w:p w:rsidR="00AE638B" w:rsidRPr="003E2514" w:rsidRDefault="00AE638B" w:rsidP="003E2514">
      <w:pPr>
        <w:jc w:val="center"/>
        <w:rPr>
          <w:lang w:val="en-GB"/>
        </w:rPr>
      </w:pPr>
    </w:p>
    <w:p w:rsidR="00AE638B" w:rsidRPr="003E2514" w:rsidRDefault="00AE638B" w:rsidP="003E2514">
      <w:pPr>
        <w:jc w:val="center"/>
        <w:rPr>
          <w:lang w:val="en-GB"/>
        </w:rPr>
      </w:pPr>
    </w:p>
    <w:p w:rsidR="00AE638B" w:rsidRPr="003E2514" w:rsidRDefault="00AE638B" w:rsidP="003E2514">
      <w:pPr>
        <w:jc w:val="center"/>
        <w:rPr>
          <w:lang w:val="en-GB"/>
        </w:rPr>
      </w:pPr>
    </w:p>
    <w:p w:rsidR="00AE638B" w:rsidRPr="003E2514" w:rsidRDefault="00AE638B" w:rsidP="003E2514">
      <w:pPr>
        <w:jc w:val="center"/>
        <w:rPr>
          <w:lang w:val="en-GB"/>
        </w:rPr>
      </w:pPr>
    </w:p>
    <w:p w:rsidR="00AE638B" w:rsidRPr="003E2514" w:rsidRDefault="00AE638B" w:rsidP="003E2514">
      <w:pPr>
        <w:jc w:val="center"/>
        <w:rPr>
          <w:lang w:val="en-GB"/>
        </w:rPr>
      </w:pPr>
    </w:p>
    <w:p w:rsidR="00014566" w:rsidRPr="003E2514" w:rsidRDefault="00014566" w:rsidP="003E2514">
      <w:pPr>
        <w:jc w:val="center"/>
        <w:rPr>
          <w:b/>
          <w:lang w:val="en-GB"/>
        </w:rPr>
      </w:pPr>
      <w:bookmarkStart w:id="1" w:name="To"/>
      <w:r w:rsidRPr="003E2514">
        <w:rPr>
          <w:b/>
          <w:lang w:val="en-GB"/>
        </w:rPr>
        <w:t xml:space="preserve">CASE OF </w:t>
      </w:r>
      <w:bookmarkEnd w:id="1"/>
      <w:r w:rsidR="006C0A28" w:rsidRPr="003E2514">
        <w:rPr>
          <w:b/>
          <w:lang w:val="en-GB"/>
        </w:rPr>
        <w:t xml:space="preserve">CIRINO </w:t>
      </w:r>
      <w:r w:rsidR="00B95321" w:rsidRPr="003E2514">
        <w:rPr>
          <w:b/>
          <w:lang w:val="en-GB"/>
        </w:rPr>
        <w:t>AND</w:t>
      </w:r>
      <w:r w:rsidR="008274E7" w:rsidRPr="003E2514">
        <w:rPr>
          <w:b/>
          <w:lang w:val="en-GB"/>
        </w:rPr>
        <w:t xml:space="preserve"> RENNE </w:t>
      </w:r>
      <w:r w:rsidR="006C0A28" w:rsidRPr="003E2514">
        <w:rPr>
          <w:b/>
          <w:lang w:val="en-GB"/>
        </w:rPr>
        <w:t>v. ITALY</w:t>
      </w:r>
    </w:p>
    <w:p w:rsidR="00014566" w:rsidRPr="003E2514" w:rsidRDefault="00014566" w:rsidP="003E2514">
      <w:pPr>
        <w:jc w:val="center"/>
        <w:rPr>
          <w:lang w:val="en-GB"/>
        </w:rPr>
      </w:pPr>
    </w:p>
    <w:p w:rsidR="00986D96" w:rsidRPr="003E2514" w:rsidRDefault="00014566" w:rsidP="003E2514">
      <w:pPr>
        <w:jc w:val="center"/>
        <w:rPr>
          <w:i/>
          <w:lang w:val="en-GB"/>
        </w:rPr>
      </w:pPr>
      <w:r w:rsidRPr="003E2514">
        <w:rPr>
          <w:i/>
          <w:lang w:val="en-GB"/>
        </w:rPr>
        <w:t>(</w:t>
      </w:r>
      <w:r w:rsidR="006C0A28" w:rsidRPr="003E2514">
        <w:rPr>
          <w:i/>
          <w:lang w:val="en-GB"/>
        </w:rPr>
        <w:t xml:space="preserve">Applications nos. 2539/13 and </w:t>
      </w:r>
      <w:r w:rsidR="00A36C4D" w:rsidRPr="003E2514">
        <w:rPr>
          <w:i/>
          <w:lang w:val="en-GB"/>
        </w:rPr>
        <w:t>4705/13</w:t>
      </w:r>
      <w:r w:rsidRPr="003E2514">
        <w:rPr>
          <w:i/>
          <w:lang w:val="en-GB"/>
        </w:rPr>
        <w:t>)</w:t>
      </w:r>
    </w:p>
    <w:p w:rsidR="00014566" w:rsidRPr="003E2514" w:rsidRDefault="00014566" w:rsidP="003E2514">
      <w:pPr>
        <w:jc w:val="center"/>
        <w:rPr>
          <w:lang w:val="en-GB"/>
        </w:rPr>
      </w:pPr>
    </w:p>
    <w:p w:rsidR="00014566" w:rsidRPr="003E2514" w:rsidRDefault="00014566" w:rsidP="003E2514">
      <w:pPr>
        <w:jc w:val="center"/>
        <w:rPr>
          <w:lang w:val="en-GB"/>
        </w:rPr>
      </w:pPr>
    </w:p>
    <w:p w:rsidR="00014566" w:rsidRPr="003E2514" w:rsidRDefault="00014566" w:rsidP="003E2514">
      <w:pPr>
        <w:jc w:val="center"/>
        <w:rPr>
          <w:lang w:val="en-GB"/>
        </w:rPr>
      </w:pPr>
    </w:p>
    <w:p w:rsidR="00014566" w:rsidRPr="003E2514" w:rsidRDefault="00014566" w:rsidP="003E2514">
      <w:pPr>
        <w:jc w:val="center"/>
        <w:rPr>
          <w:lang w:val="en-GB"/>
        </w:rPr>
      </w:pPr>
    </w:p>
    <w:p w:rsidR="00014566" w:rsidRPr="003E2514" w:rsidRDefault="00014566" w:rsidP="003E2514">
      <w:pPr>
        <w:jc w:val="center"/>
        <w:rPr>
          <w:lang w:val="en-GB"/>
        </w:rPr>
      </w:pPr>
    </w:p>
    <w:p w:rsidR="009A24B6" w:rsidRPr="003E2514" w:rsidRDefault="009A24B6" w:rsidP="003E2514">
      <w:pPr>
        <w:jc w:val="center"/>
        <w:rPr>
          <w:lang w:val="en-GB"/>
        </w:rPr>
      </w:pPr>
    </w:p>
    <w:p w:rsidR="009A24B6" w:rsidRPr="003E2514" w:rsidRDefault="009A24B6" w:rsidP="003E2514">
      <w:pPr>
        <w:jc w:val="center"/>
        <w:rPr>
          <w:lang w:val="en-GB"/>
        </w:rPr>
      </w:pPr>
    </w:p>
    <w:p w:rsidR="00014566" w:rsidRPr="003E2514" w:rsidRDefault="00014566" w:rsidP="003E2514">
      <w:pPr>
        <w:jc w:val="center"/>
        <w:rPr>
          <w:lang w:val="en-GB"/>
        </w:rPr>
      </w:pPr>
    </w:p>
    <w:p w:rsidR="00EA6A1B" w:rsidRPr="003E2514" w:rsidRDefault="00EA6A1B" w:rsidP="003E2514">
      <w:pPr>
        <w:jc w:val="center"/>
        <w:rPr>
          <w:lang w:val="en-GB"/>
        </w:rPr>
      </w:pPr>
    </w:p>
    <w:p w:rsidR="00EA6A1B" w:rsidRPr="003E2514" w:rsidRDefault="00EA6A1B" w:rsidP="003E2514">
      <w:pPr>
        <w:jc w:val="center"/>
        <w:rPr>
          <w:lang w:val="en-GB"/>
        </w:rPr>
      </w:pPr>
    </w:p>
    <w:p w:rsidR="009A24B6" w:rsidRPr="003E2514" w:rsidRDefault="009A24B6" w:rsidP="003E2514">
      <w:pPr>
        <w:jc w:val="center"/>
        <w:rPr>
          <w:lang w:val="en-GB"/>
        </w:rPr>
      </w:pPr>
    </w:p>
    <w:p w:rsidR="009A24B6" w:rsidRPr="003E2514" w:rsidRDefault="009A24B6" w:rsidP="003E2514">
      <w:pPr>
        <w:jc w:val="center"/>
        <w:rPr>
          <w:lang w:val="en-GB"/>
        </w:rPr>
      </w:pPr>
    </w:p>
    <w:p w:rsidR="009A24B6" w:rsidRPr="003E2514" w:rsidRDefault="009A24B6" w:rsidP="003E2514">
      <w:pPr>
        <w:jc w:val="center"/>
        <w:rPr>
          <w:lang w:val="en-GB"/>
        </w:rPr>
      </w:pPr>
    </w:p>
    <w:p w:rsidR="00EA6A1B" w:rsidRPr="003E2514" w:rsidRDefault="00EA6A1B" w:rsidP="003E2514">
      <w:pPr>
        <w:jc w:val="center"/>
        <w:rPr>
          <w:lang w:val="en-GB"/>
        </w:rPr>
      </w:pPr>
    </w:p>
    <w:p w:rsidR="004A3132" w:rsidRPr="003E2514" w:rsidRDefault="00AE638B" w:rsidP="003E2514">
      <w:pPr>
        <w:jc w:val="center"/>
        <w:rPr>
          <w:szCs w:val="24"/>
          <w:lang w:val="en-GB"/>
        </w:rPr>
      </w:pPr>
      <w:r w:rsidRPr="003E2514">
        <w:rPr>
          <w:szCs w:val="24"/>
          <w:lang w:val="en-GB"/>
        </w:rPr>
        <w:t>JUDGMENT</w:t>
      </w:r>
    </w:p>
    <w:p w:rsidR="00D12027" w:rsidRPr="003E2514" w:rsidRDefault="00D12027" w:rsidP="003E2514">
      <w:pPr>
        <w:rPr>
          <w:szCs w:val="24"/>
          <w:lang w:val="en-GB"/>
        </w:rPr>
      </w:pPr>
    </w:p>
    <w:p w:rsidR="00AE638B" w:rsidRPr="003E2514" w:rsidRDefault="00AE638B" w:rsidP="003E2514">
      <w:pPr>
        <w:jc w:val="center"/>
        <w:rPr>
          <w:szCs w:val="24"/>
        </w:rPr>
      </w:pPr>
    </w:p>
    <w:p w:rsidR="00AE638B" w:rsidRPr="003E2514" w:rsidRDefault="00AE638B" w:rsidP="003E2514">
      <w:pPr>
        <w:jc w:val="center"/>
        <w:rPr>
          <w:szCs w:val="24"/>
        </w:rPr>
      </w:pPr>
      <w:r w:rsidRPr="003E2514">
        <w:rPr>
          <w:szCs w:val="24"/>
        </w:rPr>
        <w:t>STRASBOURG</w:t>
      </w:r>
    </w:p>
    <w:p w:rsidR="00AE638B" w:rsidRPr="003E2514" w:rsidRDefault="00AE638B" w:rsidP="003E2514">
      <w:pPr>
        <w:jc w:val="center"/>
        <w:rPr>
          <w:szCs w:val="24"/>
        </w:rPr>
      </w:pPr>
    </w:p>
    <w:p w:rsidR="00AE638B" w:rsidRPr="003E2514" w:rsidRDefault="00AE638B" w:rsidP="003E2514">
      <w:pPr>
        <w:jc w:val="center"/>
        <w:rPr>
          <w:szCs w:val="24"/>
        </w:rPr>
      </w:pPr>
      <w:r w:rsidRPr="003E2514">
        <w:rPr>
          <w:szCs w:val="24"/>
        </w:rPr>
        <w:t>26 October 2017</w:t>
      </w:r>
    </w:p>
    <w:p w:rsidR="00AE638B" w:rsidRPr="003E2514" w:rsidRDefault="00AE638B" w:rsidP="003E2514">
      <w:pPr>
        <w:jc w:val="center"/>
        <w:rPr>
          <w:szCs w:val="24"/>
        </w:rPr>
      </w:pPr>
    </w:p>
    <w:p w:rsidR="00AE638B" w:rsidRPr="003E2514" w:rsidRDefault="00AE638B" w:rsidP="003E2514">
      <w:pPr>
        <w:jc w:val="center"/>
        <w:rPr>
          <w:szCs w:val="24"/>
        </w:rPr>
      </w:pPr>
    </w:p>
    <w:p w:rsidR="00AE638B" w:rsidRPr="003E2514" w:rsidRDefault="00AE638B" w:rsidP="003E2514">
      <w:pPr>
        <w:jc w:val="center"/>
        <w:rPr>
          <w:szCs w:val="24"/>
        </w:rPr>
      </w:pPr>
    </w:p>
    <w:p w:rsidR="00984278" w:rsidRPr="003E2514" w:rsidRDefault="00AE638B" w:rsidP="003E2514">
      <w:pPr>
        <w:rPr>
          <w:i/>
          <w:sz w:val="22"/>
          <w:szCs w:val="24"/>
        </w:rPr>
      </w:pPr>
      <w:r w:rsidRPr="003E2514">
        <w:rPr>
          <w:i/>
          <w:sz w:val="22"/>
          <w:szCs w:val="24"/>
        </w:rPr>
        <w:t>This judgment will become final in the circumstances set out in Article 44 § </w:t>
      </w:r>
      <w:proofErr w:type="gramStart"/>
      <w:r w:rsidRPr="003E2514">
        <w:rPr>
          <w:i/>
          <w:sz w:val="22"/>
          <w:szCs w:val="24"/>
        </w:rPr>
        <w:t>2</w:t>
      </w:r>
      <w:proofErr w:type="gramEnd"/>
      <w:r w:rsidRPr="003E2514">
        <w:rPr>
          <w:i/>
          <w:sz w:val="22"/>
          <w:szCs w:val="24"/>
        </w:rPr>
        <w:t xml:space="preserve"> of the Convention. It may be subject to editorial revision</w:t>
      </w:r>
      <w:r w:rsidR="00BE4E3C" w:rsidRPr="003E2514">
        <w:rPr>
          <w:i/>
          <w:sz w:val="22"/>
          <w:szCs w:val="24"/>
        </w:rPr>
        <w:t>.</w:t>
      </w:r>
    </w:p>
    <w:p w:rsidR="00AE638B" w:rsidRPr="003E2514" w:rsidRDefault="00AE638B" w:rsidP="003E2514">
      <w:pPr>
        <w:rPr>
          <w:szCs w:val="24"/>
        </w:rPr>
        <w:sectPr w:rsidR="00AE638B" w:rsidRPr="003E2514" w:rsidSect="00AE638B">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F53E6A" w:rsidRPr="003E2514" w:rsidRDefault="00F53E6A" w:rsidP="003E2514">
      <w:pPr>
        <w:pStyle w:val="JuCase"/>
        <w:rPr>
          <w:bCs/>
        </w:rPr>
      </w:pPr>
      <w:r w:rsidRPr="003E2514">
        <w:lastRenderedPageBreak/>
        <w:t xml:space="preserve">In the case of </w:t>
      </w:r>
      <w:proofErr w:type="spellStart"/>
      <w:r w:rsidRPr="003E2514">
        <w:t>Cirino</w:t>
      </w:r>
      <w:proofErr w:type="spellEnd"/>
      <w:r w:rsidRPr="003E2514">
        <w:t xml:space="preserve"> and </w:t>
      </w:r>
      <w:proofErr w:type="spellStart"/>
      <w:r w:rsidRPr="003E2514">
        <w:t>Renne</w:t>
      </w:r>
      <w:proofErr w:type="spellEnd"/>
      <w:r w:rsidRPr="003E2514">
        <w:t xml:space="preserve"> v. Italy,</w:t>
      </w:r>
    </w:p>
    <w:p w:rsidR="00014566" w:rsidRPr="003E2514" w:rsidRDefault="00014566" w:rsidP="003E2514">
      <w:pPr>
        <w:pStyle w:val="ECHRPara"/>
      </w:pPr>
      <w:r w:rsidRPr="003E2514">
        <w:t>The European Court of Human Rights (</w:t>
      </w:r>
      <w:r w:rsidR="006C0A28" w:rsidRPr="003E2514">
        <w:t>First Section</w:t>
      </w:r>
      <w:r w:rsidRPr="003E2514">
        <w:t xml:space="preserve">), sitting as a </w:t>
      </w:r>
      <w:r w:rsidR="006C0A28" w:rsidRPr="003E2514">
        <w:t>Chamber</w:t>
      </w:r>
      <w:r w:rsidRPr="003E2514">
        <w:t xml:space="preserve"> composed of:</w:t>
      </w:r>
    </w:p>
    <w:p w:rsidR="00014566" w:rsidRPr="003E2514" w:rsidRDefault="00AE638B" w:rsidP="003E2514">
      <w:pPr>
        <w:pStyle w:val="ECHRDecisionBody"/>
      </w:pPr>
      <w:r w:rsidRPr="003E2514">
        <w:tab/>
      </w:r>
      <w:proofErr w:type="spellStart"/>
      <w:r w:rsidRPr="003E2514">
        <w:t>Linos</w:t>
      </w:r>
      <w:proofErr w:type="spellEnd"/>
      <w:r w:rsidRPr="003E2514">
        <w:t xml:space="preserve">-Alexandre </w:t>
      </w:r>
      <w:proofErr w:type="spellStart"/>
      <w:r w:rsidRPr="003E2514">
        <w:t>Sicilianos</w:t>
      </w:r>
      <w:proofErr w:type="spellEnd"/>
      <w:r w:rsidRPr="003E2514">
        <w:t>,</w:t>
      </w:r>
      <w:r w:rsidRPr="003E2514">
        <w:rPr>
          <w:i/>
        </w:rPr>
        <w:t xml:space="preserve"> President,</w:t>
      </w:r>
      <w:r w:rsidRPr="003E2514">
        <w:rPr>
          <w:i/>
        </w:rPr>
        <w:br/>
      </w:r>
      <w:r w:rsidRPr="003E2514">
        <w:tab/>
        <w:t xml:space="preserve">Kristina </w:t>
      </w:r>
      <w:proofErr w:type="spellStart"/>
      <w:r w:rsidRPr="003E2514">
        <w:t>Pardalos</w:t>
      </w:r>
      <w:proofErr w:type="spellEnd"/>
      <w:r w:rsidRPr="003E2514">
        <w:t>,</w:t>
      </w:r>
      <w:r w:rsidRPr="003E2514">
        <w:rPr>
          <w:i/>
        </w:rPr>
        <w:br/>
      </w:r>
      <w:r w:rsidRPr="003E2514">
        <w:tab/>
        <w:t>Guido Raimondi,</w:t>
      </w:r>
      <w:r w:rsidRPr="003E2514">
        <w:rPr>
          <w:i/>
        </w:rPr>
        <w:br/>
      </w:r>
      <w:r w:rsidRPr="003E2514">
        <w:tab/>
        <w:t xml:space="preserve">Krzysztof </w:t>
      </w:r>
      <w:proofErr w:type="spellStart"/>
      <w:r w:rsidRPr="003E2514">
        <w:t>Wojtyczek</w:t>
      </w:r>
      <w:proofErr w:type="spellEnd"/>
      <w:r w:rsidRPr="003E2514">
        <w:t>,</w:t>
      </w:r>
      <w:r w:rsidRPr="003E2514">
        <w:rPr>
          <w:i/>
        </w:rPr>
        <w:br/>
      </w:r>
      <w:r w:rsidRPr="003E2514">
        <w:tab/>
      </w:r>
      <w:proofErr w:type="spellStart"/>
      <w:r w:rsidRPr="003E2514">
        <w:t>Ksenija</w:t>
      </w:r>
      <w:proofErr w:type="spellEnd"/>
      <w:r w:rsidRPr="003E2514">
        <w:t xml:space="preserve"> </w:t>
      </w:r>
      <w:proofErr w:type="spellStart"/>
      <w:r w:rsidRPr="003E2514">
        <w:t>Turković</w:t>
      </w:r>
      <w:proofErr w:type="spellEnd"/>
      <w:r w:rsidRPr="003E2514">
        <w:t>,</w:t>
      </w:r>
      <w:r w:rsidRPr="003E2514">
        <w:rPr>
          <w:i/>
        </w:rPr>
        <w:br/>
      </w:r>
      <w:r w:rsidRPr="003E2514">
        <w:tab/>
        <w:t xml:space="preserve">Armen </w:t>
      </w:r>
      <w:proofErr w:type="spellStart"/>
      <w:r w:rsidRPr="003E2514">
        <w:t>Harutyunyan</w:t>
      </w:r>
      <w:proofErr w:type="spellEnd"/>
      <w:r w:rsidRPr="003E2514">
        <w:t>,</w:t>
      </w:r>
      <w:r w:rsidRPr="003E2514">
        <w:rPr>
          <w:i/>
        </w:rPr>
        <w:br/>
      </w:r>
      <w:r w:rsidRPr="003E2514">
        <w:tab/>
        <w:t xml:space="preserve">Jovan </w:t>
      </w:r>
      <w:proofErr w:type="spellStart"/>
      <w:r w:rsidRPr="003E2514">
        <w:t>Ilievski</w:t>
      </w:r>
      <w:proofErr w:type="spellEnd"/>
      <w:r w:rsidRPr="003E2514">
        <w:t>,</w:t>
      </w:r>
      <w:r w:rsidRPr="003E2514">
        <w:rPr>
          <w:i/>
        </w:rPr>
        <w:t xml:space="preserve"> judges,</w:t>
      </w:r>
      <w:r w:rsidR="00014566" w:rsidRPr="003E2514">
        <w:rPr>
          <w:szCs w:val="24"/>
        </w:rPr>
        <w:br/>
      </w:r>
      <w:r w:rsidR="00014566" w:rsidRPr="003E2514">
        <w:t xml:space="preserve">and </w:t>
      </w:r>
      <w:r w:rsidR="006C0A28" w:rsidRPr="003E2514">
        <w:t>Abel Campos</w:t>
      </w:r>
      <w:r w:rsidR="00014566" w:rsidRPr="003E2514">
        <w:t xml:space="preserve">, </w:t>
      </w:r>
      <w:r w:rsidR="006C0A28" w:rsidRPr="003E2514">
        <w:rPr>
          <w:i/>
        </w:rPr>
        <w:t xml:space="preserve">Section </w:t>
      </w:r>
      <w:r w:rsidR="006C0A28" w:rsidRPr="003E2514">
        <w:rPr>
          <w:i/>
          <w:iCs/>
        </w:rPr>
        <w:t>Registrar</w:t>
      </w:r>
      <w:r w:rsidR="00014566" w:rsidRPr="003E2514">
        <w:rPr>
          <w:i/>
        </w:rPr>
        <w:t>,</w:t>
      </w:r>
    </w:p>
    <w:p w:rsidR="00014566" w:rsidRPr="003E2514" w:rsidRDefault="00014566" w:rsidP="003E2514">
      <w:pPr>
        <w:pStyle w:val="ECHRPara"/>
      </w:pPr>
      <w:r w:rsidRPr="003E2514">
        <w:t xml:space="preserve">Having deliberated in private on </w:t>
      </w:r>
      <w:r w:rsidR="00AE638B" w:rsidRPr="003E2514">
        <w:t>3 October 2017</w:t>
      </w:r>
      <w:r w:rsidRPr="003E2514">
        <w:t>,</w:t>
      </w:r>
    </w:p>
    <w:p w:rsidR="00014566" w:rsidRPr="003E2514" w:rsidRDefault="00014566" w:rsidP="003E2514">
      <w:pPr>
        <w:pStyle w:val="ECHRPara"/>
      </w:pPr>
      <w:r w:rsidRPr="003E2514">
        <w:t>Delivers the following judgment, which was adopted on that date:</w:t>
      </w:r>
    </w:p>
    <w:p w:rsidR="00014566" w:rsidRPr="003E2514" w:rsidRDefault="00014566" w:rsidP="003E2514">
      <w:pPr>
        <w:pStyle w:val="ECHRTitle1"/>
      </w:pPr>
      <w:r w:rsidRPr="003E2514">
        <w:t>PROCEDURE</w:t>
      </w:r>
    </w:p>
    <w:p w:rsidR="006C0A28" w:rsidRPr="003E2514" w:rsidRDefault="00867820"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w:t>
      </w:r>
      <w:r w:rsidRPr="003E2514">
        <w:fldChar w:fldCharType="end"/>
      </w:r>
      <w:r w:rsidRPr="003E2514">
        <w:t>.  </w:t>
      </w:r>
      <w:r w:rsidR="00014566" w:rsidRPr="003E2514">
        <w:t xml:space="preserve">The case originated in </w:t>
      </w:r>
      <w:r w:rsidR="003660C6" w:rsidRPr="003E2514">
        <w:t>two</w:t>
      </w:r>
      <w:r w:rsidR="006C0A28" w:rsidRPr="003E2514">
        <w:t xml:space="preserve"> applications (nos. 2539/13 and </w:t>
      </w:r>
      <w:r w:rsidR="0055265C" w:rsidRPr="003E2514">
        <w:t>4705/13</w:t>
      </w:r>
      <w:r w:rsidR="006C0A28" w:rsidRPr="003E2514">
        <w:t>)</w:t>
      </w:r>
      <w:r w:rsidR="00014566" w:rsidRPr="003E2514">
        <w:t xml:space="preserve"> against </w:t>
      </w:r>
      <w:r w:rsidR="006C0A28" w:rsidRPr="003E2514">
        <w:t>the Italian Republic</w:t>
      </w:r>
      <w:r w:rsidR="00014566" w:rsidRPr="003E2514">
        <w:t xml:space="preserve"> lodged with the </w:t>
      </w:r>
      <w:r w:rsidR="006C0A28" w:rsidRPr="003E2514">
        <w:t>Court under Article 34</w:t>
      </w:r>
      <w:r w:rsidR="00014566" w:rsidRPr="003E2514">
        <w:t xml:space="preserve"> of the Convention for the Protection of Human Rights and Fundamental Freedoms (“the Convention”) by </w:t>
      </w:r>
      <w:r w:rsidR="003660C6" w:rsidRPr="003E2514">
        <w:t>two</w:t>
      </w:r>
      <w:r w:rsidR="006C0A28" w:rsidRPr="003E2514">
        <w:t xml:space="preserve"> Italian nationals, Mr Andrea </w:t>
      </w:r>
      <w:proofErr w:type="spellStart"/>
      <w:r w:rsidR="006C0A28" w:rsidRPr="003E2514">
        <w:t>Cirino</w:t>
      </w:r>
      <w:proofErr w:type="spellEnd"/>
      <w:r w:rsidR="003660C6" w:rsidRPr="003E2514">
        <w:t xml:space="preserve"> (“the first applicant”)</w:t>
      </w:r>
      <w:r w:rsidR="006C0A28" w:rsidRPr="003E2514">
        <w:t xml:space="preserve"> and Mr </w:t>
      </w:r>
      <w:r w:rsidR="003660C6" w:rsidRPr="003E2514">
        <w:t xml:space="preserve">Claudio </w:t>
      </w:r>
      <w:proofErr w:type="spellStart"/>
      <w:r w:rsidR="003660C6" w:rsidRPr="003E2514">
        <w:t>Renne</w:t>
      </w:r>
      <w:proofErr w:type="spellEnd"/>
      <w:r w:rsidR="006C0A28" w:rsidRPr="003E2514">
        <w:t xml:space="preserve"> (“the </w:t>
      </w:r>
      <w:r w:rsidR="003660C6" w:rsidRPr="003E2514">
        <w:t xml:space="preserve">second </w:t>
      </w:r>
      <w:r w:rsidR="006C0A28" w:rsidRPr="003E2514">
        <w:t>applicant</w:t>
      </w:r>
      <w:r w:rsidR="003660C6" w:rsidRPr="003E2514">
        <w:t>”</w:t>
      </w:r>
      <w:r w:rsidR="009A24B6" w:rsidRPr="003E2514">
        <w:t>), on 14 and </w:t>
      </w:r>
      <w:r w:rsidR="00F91C56" w:rsidRPr="003E2514">
        <w:t>21</w:t>
      </w:r>
      <w:r w:rsidR="00FD2FB9" w:rsidRPr="003E2514">
        <w:t> </w:t>
      </w:r>
      <w:r w:rsidR="00F91C56" w:rsidRPr="003E2514">
        <w:t>December 2012</w:t>
      </w:r>
      <w:r w:rsidR="006C0A28" w:rsidRPr="003E2514">
        <w:t xml:space="preserve"> respectively</w:t>
      </w:r>
      <w:r w:rsidR="00014566" w:rsidRPr="003E2514">
        <w:t>.</w:t>
      </w:r>
      <w:r w:rsidR="00EE5EAB" w:rsidRPr="003E2514">
        <w:t xml:space="preserve"> The second applicant died on 1</w:t>
      </w:r>
      <w:r w:rsidR="00302F4A" w:rsidRPr="003E2514">
        <w:t xml:space="preserve">0 January </w:t>
      </w:r>
      <w:r w:rsidR="00EE5EAB" w:rsidRPr="003E2514">
        <w:t>201</w:t>
      </w:r>
      <w:r w:rsidR="00302F4A" w:rsidRPr="003E2514">
        <w:t>7</w:t>
      </w:r>
      <w:r w:rsidR="00EE5EAB" w:rsidRPr="003E2514">
        <w:t xml:space="preserve">. On </w:t>
      </w:r>
      <w:r w:rsidR="00B90113" w:rsidRPr="003E2514">
        <w:t>13 June 2017</w:t>
      </w:r>
      <w:r w:rsidR="00EE5EAB" w:rsidRPr="003E2514">
        <w:t xml:space="preserve"> the </w:t>
      </w:r>
      <w:r w:rsidR="00667A1F" w:rsidRPr="003E2514">
        <w:t xml:space="preserve">second </w:t>
      </w:r>
      <w:r w:rsidR="00EE5EAB" w:rsidRPr="003E2514">
        <w:t>applicant</w:t>
      </w:r>
      <w:r w:rsidR="003E2514" w:rsidRPr="003E2514">
        <w:t>’</w:t>
      </w:r>
      <w:r w:rsidR="00EE5EAB" w:rsidRPr="003E2514">
        <w:t xml:space="preserve">s </w:t>
      </w:r>
      <w:r w:rsidR="00B4439A" w:rsidRPr="003E2514">
        <w:t>daughter</w:t>
      </w:r>
      <w:r w:rsidR="00EE5EAB" w:rsidRPr="003E2514">
        <w:t>, M</w:t>
      </w:r>
      <w:r w:rsidR="00B4439A" w:rsidRPr="003E2514">
        <w:t>s</w:t>
      </w:r>
      <w:r w:rsidR="00EE5EAB" w:rsidRPr="003E2514">
        <w:t xml:space="preserve"> </w:t>
      </w:r>
      <w:r w:rsidR="00B4439A" w:rsidRPr="003E2514">
        <w:t xml:space="preserve">Gretel </w:t>
      </w:r>
      <w:proofErr w:type="spellStart"/>
      <w:r w:rsidR="00B4439A" w:rsidRPr="003E2514">
        <w:t>Renne</w:t>
      </w:r>
      <w:proofErr w:type="spellEnd"/>
      <w:r w:rsidR="00EE5EAB" w:rsidRPr="003E2514">
        <w:t>, expressed the wish to pursue the proceedings before the Court.</w:t>
      </w:r>
    </w:p>
    <w:p w:rsidR="006C0A28" w:rsidRPr="003E2514" w:rsidRDefault="006C0A2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2</w:t>
      </w:r>
      <w:r w:rsidRPr="003E2514">
        <w:fldChar w:fldCharType="end"/>
      </w:r>
      <w:r w:rsidR="00014566" w:rsidRPr="003E2514">
        <w:t>.  </w:t>
      </w:r>
      <w:r w:rsidRPr="003E2514">
        <w:t xml:space="preserve">The </w:t>
      </w:r>
      <w:r w:rsidR="000E1861" w:rsidRPr="003E2514">
        <w:t>first applicant was</w:t>
      </w:r>
      <w:r w:rsidRPr="003E2514">
        <w:t xml:space="preserve"> represented by Mr A. </w:t>
      </w:r>
      <w:proofErr w:type="spellStart"/>
      <w:r w:rsidRPr="003E2514">
        <w:t>Ginesi</w:t>
      </w:r>
      <w:proofErr w:type="spellEnd"/>
      <w:r w:rsidRPr="003E2514">
        <w:t xml:space="preserve"> and Mrs</w:t>
      </w:r>
      <w:r w:rsidR="00FD2FB9" w:rsidRPr="003E2514">
        <w:t> </w:t>
      </w:r>
      <w:r w:rsidR="000E1861" w:rsidRPr="003E2514">
        <w:t>S.</w:t>
      </w:r>
      <w:r w:rsidR="00FD2FB9" w:rsidRPr="003E2514">
        <w:t> </w:t>
      </w:r>
      <w:proofErr w:type="spellStart"/>
      <w:r w:rsidR="000E1861" w:rsidRPr="003E2514">
        <w:t>Filippi</w:t>
      </w:r>
      <w:proofErr w:type="spellEnd"/>
      <w:r w:rsidRPr="003E2514">
        <w:t>, lawyers practising in Turin</w:t>
      </w:r>
      <w:r w:rsidR="000E1861" w:rsidRPr="003E2514">
        <w:t xml:space="preserve"> and Rome respectively</w:t>
      </w:r>
      <w:r w:rsidRPr="003E2514">
        <w:t xml:space="preserve">. </w:t>
      </w:r>
      <w:r w:rsidR="000E1861" w:rsidRPr="003E2514">
        <w:t>The</w:t>
      </w:r>
      <w:r w:rsidR="009A24B6" w:rsidRPr="003E2514">
        <w:t xml:space="preserve"> </w:t>
      </w:r>
      <w:r w:rsidR="000E1861" w:rsidRPr="003E2514">
        <w:t>second applicant was represented by Mr M</w:t>
      </w:r>
      <w:r w:rsidR="00BE4BE9" w:rsidRPr="003E2514">
        <w:t>.</w:t>
      </w:r>
      <w:r w:rsidR="000E1861" w:rsidRPr="003E2514">
        <w:t xml:space="preserve"> Caliendo</w:t>
      </w:r>
      <w:r w:rsidR="009A24B6" w:rsidRPr="003E2514">
        <w:t xml:space="preserve"> and Mr </w:t>
      </w:r>
      <w:r w:rsidR="00925536" w:rsidRPr="003E2514">
        <w:t>A.</w:t>
      </w:r>
      <w:r w:rsidR="00B24E96" w:rsidRPr="003E2514">
        <w:t> </w:t>
      </w:r>
      <w:proofErr w:type="spellStart"/>
      <w:r w:rsidR="00925536" w:rsidRPr="003E2514">
        <w:t>Marchesi</w:t>
      </w:r>
      <w:proofErr w:type="spellEnd"/>
      <w:r w:rsidR="000E1861" w:rsidRPr="003E2514">
        <w:t>, lawyer</w:t>
      </w:r>
      <w:r w:rsidR="00925536" w:rsidRPr="003E2514">
        <w:t>s</w:t>
      </w:r>
      <w:r w:rsidR="000E1861" w:rsidRPr="003E2514">
        <w:t xml:space="preserve"> practising in Asti</w:t>
      </w:r>
      <w:r w:rsidR="00925536" w:rsidRPr="003E2514">
        <w:t xml:space="preserve"> and</w:t>
      </w:r>
      <w:r w:rsidR="0099698C" w:rsidRPr="003E2514">
        <w:t xml:space="preserve"> Rome</w:t>
      </w:r>
      <w:r w:rsidR="00925536" w:rsidRPr="003E2514">
        <w:t xml:space="preserve"> respectively</w:t>
      </w:r>
      <w:r w:rsidR="009C464E" w:rsidRPr="003E2514">
        <w:t>.</w:t>
      </w:r>
      <w:r w:rsidR="00DD766E" w:rsidRPr="003E2514">
        <w:t xml:space="preserve"> The </w:t>
      </w:r>
      <w:r w:rsidR="00925536" w:rsidRPr="003E2514">
        <w:t xml:space="preserve">second </w:t>
      </w:r>
      <w:r w:rsidR="00DD766E" w:rsidRPr="003E2514">
        <w:t>applicant</w:t>
      </w:r>
      <w:r w:rsidR="003E2514" w:rsidRPr="003E2514">
        <w:t>’</w:t>
      </w:r>
      <w:r w:rsidR="00DD766E" w:rsidRPr="003E2514">
        <w:t xml:space="preserve">s daughter was represented by Mr </w:t>
      </w:r>
      <w:r w:rsidR="002B6D11" w:rsidRPr="003E2514">
        <w:t xml:space="preserve">M. </w:t>
      </w:r>
      <w:r w:rsidR="00DD766E" w:rsidRPr="003E2514">
        <w:t>Caliendo.</w:t>
      </w:r>
      <w:r w:rsidR="0040020F" w:rsidRPr="003E2514">
        <w:t xml:space="preserve"> </w:t>
      </w:r>
      <w:r w:rsidR="00014566" w:rsidRPr="003E2514">
        <w:t xml:space="preserve">The </w:t>
      </w:r>
      <w:r w:rsidRPr="003E2514">
        <w:t>Italian</w:t>
      </w:r>
      <w:r w:rsidR="00014566" w:rsidRPr="003E2514">
        <w:t xml:space="preserve"> Government (“the Government”) were represented by their Agent, Mrs</w:t>
      </w:r>
      <w:r w:rsidR="00396552" w:rsidRPr="003E2514">
        <w:t> </w:t>
      </w:r>
      <w:r w:rsidR="000E1861" w:rsidRPr="003E2514">
        <w:t>E.</w:t>
      </w:r>
      <w:r w:rsidR="00396552" w:rsidRPr="003E2514">
        <w:t> </w:t>
      </w:r>
      <w:r w:rsidR="000E1861" w:rsidRPr="003E2514">
        <w:t>Spatafora.</w:t>
      </w:r>
    </w:p>
    <w:p w:rsidR="00543847" w:rsidRPr="003E2514" w:rsidRDefault="00543847" w:rsidP="003E2514">
      <w:pPr>
        <w:pStyle w:val="ECHRPara"/>
        <w:rPr>
          <w:i/>
        </w:rPr>
      </w:pPr>
      <w:r w:rsidRPr="003E2514">
        <w:fldChar w:fldCharType="begin"/>
      </w:r>
      <w:r w:rsidRPr="003E2514">
        <w:instrText xml:space="preserve"> SEQ level0 \*arabic </w:instrText>
      </w:r>
      <w:r w:rsidRPr="003E2514">
        <w:fldChar w:fldCharType="separate"/>
      </w:r>
      <w:r w:rsidR="003E2514" w:rsidRPr="003E2514">
        <w:rPr>
          <w:noProof/>
        </w:rPr>
        <w:t>3</w:t>
      </w:r>
      <w:r w:rsidRPr="003E2514">
        <w:fldChar w:fldCharType="end"/>
      </w:r>
      <w:r w:rsidRPr="003E2514">
        <w:t>.  </w:t>
      </w:r>
      <w:r w:rsidR="003368E3" w:rsidRPr="003E2514">
        <w:t xml:space="preserve">Joint written observations </w:t>
      </w:r>
      <w:r w:rsidR="00CD23BF" w:rsidRPr="003E2514">
        <w:t xml:space="preserve">were received from the </w:t>
      </w:r>
      <w:r w:rsidR="00DA050E" w:rsidRPr="003E2514">
        <w:t xml:space="preserve">Nonviolent Radical Party, </w:t>
      </w:r>
      <w:r w:rsidR="00CD23BF" w:rsidRPr="003E2514">
        <w:t>T</w:t>
      </w:r>
      <w:r w:rsidR="003368E3" w:rsidRPr="003E2514">
        <w:t>ransnational</w:t>
      </w:r>
      <w:r w:rsidR="00DA050E" w:rsidRPr="003E2514">
        <w:t xml:space="preserve"> and</w:t>
      </w:r>
      <w:r w:rsidR="003368E3" w:rsidRPr="003E2514">
        <w:t xml:space="preserve"> </w:t>
      </w:r>
      <w:proofErr w:type="spellStart"/>
      <w:r w:rsidR="00DA050E" w:rsidRPr="003E2514">
        <w:t>Trans</w:t>
      </w:r>
      <w:r w:rsidR="003368E3" w:rsidRPr="003E2514">
        <w:t>party</w:t>
      </w:r>
      <w:proofErr w:type="spellEnd"/>
      <w:r w:rsidR="003368E3" w:rsidRPr="003E2514">
        <w:t>, the association “</w:t>
      </w:r>
      <w:r w:rsidR="003368E3" w:rsidRPr="003E2514">
        <w:rPr>
          <w:i/>
        </w:rPr>
        <w:t xml:space="preserve">Non </w:t>
      </w:r>
      <w:proofErr w:type="spellStart"/>
      <w:r w:rsidR="003368E3" w:rsidRPr="003E2514">
        <w:rPr>
          <w:i/>
        </w:rPr>
        <w:t>c</w:t>
      </w:r>
      <w:r w:rsidR="003E2514" w:rsidRPr="003E2514">
        <w:rPr>
          <w:i/>
        </w:rPr>
        <w:t>’</w:t>
      </w:r>
      <w:r w:rsidR="003368E3" w:rsidRPr="003E2514">
        <w:rPr>
          <w:i/>
        </w:rPr>
        <w:t>è</w:t>
      </w:r>
      <w:proofErr w:type="spellEnd"/>
      <w:r w:rsidR="003368E3" w:rsidRPr="003E2514">
        <w:rPr>
          <w:i/>
        </w:rPr>
        <w:t xml:space="preserve"> pace </w:t>
      </w:r>
      <w:proofErr w:type="spellStart"/>
      <w:r w:rsidR="003368E3" w:rsidRPr="003E2514">
        <w:rPr>
          <w:i/>
        </w:rPr>
        <w:t>senza</w:t>
      </w:r>
      <w:proofErr w:type="spellEnd"/>
      <w:r w:rsidR="003368E3" w:rsidRPr="003E2514">
        <w:rPr>
          <w:i/>
        </w:rPr>
        <w:t xml:space="preserve"> </w:t>
      </w:r>
      <w:proofErr w:type="spellStart"/>
      <w:r w:rsidR="003368E3" w:rsidRPr="003E2514">
        <w:rPr>
          <w:i/>
        </w:rPr>
        <w:t>giustizia</w:t>
      </w:r>
      <w:proofErr w:type="spellEnd"/>
      <w:r w:rsidR="003368E3" w:rsidRPr="003E2514">
        <w:t xml:space="preserve">” and </w:t>
      </w:r>
      <w:r w:rsidR="00802699" w:rsidRPr="003E2514">
        <w:t xml:space="preserve">the </w:t>
      </w:r>
      <w:r w:rsidR="003368E3" w:rsidRPr="003E2514">
        <w:t xml:space="preserve">Italian Radicals </w:t>
      </w:r>
      <w:r w:rsidR="00802699" w:rsidRPr="003E2514">
        <w:t>(</w:t>
      </w:r>
      <w:r w:rsidR="003368E3" w:rsidRPr="003E2514">
        <w:t>former Italian Radical Party</w:t>
      </w:r>
      <w:r w:rsidR="00802699" w:rsidRPr="003E2514">
        <w:t>)</w:t>
      </w:r>
      <w:r w:rsidR="003368E3" w:rsidRPr="003E2514">
        <w:t>, whom the Section President had authorised to intervene in the written proceedings (under Article 36 § 2 of the Convention and Rule 44 § 3 of the Rules of Court).</w:t>
      </w:r>
    </w:p>
    <w:p w:rsidR="00AF3CFD" w:rsidRPr="003E2514" w:rsidRDefault="006C0A2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4</w:t>
      </w:r>
      <w:r w:rsidRPr="003E2514">
        <w:fldChar w:fldCharType="end"/>
      </w:r>
      <w:r w:rsidRPr="003E2514">
        <w:t>.  </w:t>
      </w:r>
      <w:r w:rsidR="00AF3CFD" w:rsidRPr="003E2514">
        <w:t>Relying on Article 3 of the Convention, the applicant</w:t>
      </w:r>
      <w:r w:rsidR="00FD79A9" w:rsidRPr="003E2514">
        <w:t>s</w:t>
      </w:r>
      <w:r w:rsidR="00AF3CFD" w:rsidRPr="003E2514">
        <w:t xml:space="preserve"> complained of having suffered violence and ill-treatment which they considered tantamount to torture during their detention</w:t>
      </w:r>
      <w:r w:rsidR="00A65CAE" w:rsidRPr="003E2514">
        <w:t xml:space="preserve">. </w:t>
      </w:r>
      <w:r w:rsidR="00C945E7" w:rsidRPr="003E2514">
        <w:t>T</w:t>
      </w:r>
      <w:r w:rsidR="00AF3CFD" w:rsidRPr="003E2514">
        <w:t xml:space="preserve">hey </w:t>
      </w:r>
      <w:r w:rsidR="005B76BD" w:rsidRPr="003E2514">
        <w:t xml:space="preserve">further </w:t>
      </w:r>
      <w:r w:rsidR="00AF3CFD" w:rsidRPr="003E2514">
        <w:t xml:space="preserve">submitted that those responsible for the impugned </w:t>
      </w:r>
      <w:r w:rsidR="00396552" w:rsidRPr="003E2514">
        <w:t xml:space="preserve">conduct </w:t>
      </w:r>
      <w:r w:rsidR="00AF3CFD" w:rsidRPr="003E2514">
        <w:t>had not been appropriately punished because in</w:t>
      </w:r>
      <w:r w:rsidR="00396552" w:rsidRPr="003E2514">
        <w:t xml:space="preserve"> the course of</w:t>
      </w:r>
      <w:r w:rsidR="00AF3CFD" w:rsidRPr="003E2514">
        <w:t xml:space="preserve"> the criminal proceedings the offences as charged had become statute-barred. They added, in particular, that by </w:t>
      </w:r>
      <w:r w:rsidR="00AF3CFD" w:rsidRPr="003E2514">
        <w:lastRenderedPageBreak/>
        <w:t xml:space="preserve">refraining from classifying acts of torture as </w:t>
      </w:r>
      <w:r w:rsidR="00FD79A9" w:rsidRPr="003E2514">
        <w:t xml:space="preserve">a </w:t>
      </w:r>
      <w:r w:rsidR="00AF3CFD" w:rsidRPr="003E2514">
        <w:t xml:space="preserve">criminal offence and laying down adequate penalties for the latter, the State had failed to adopt the requisite measures to prevent and punish the violence and other types of ill-treatment of which </w:t>
      </w:r>
      <w:r w:rsidR="005A2A86" w:rsidRPr="003E2514">
        <w:t>they were</w:t>
      </w:r>
      <w:r w:rsidR="00AF3CFD" w:rsidRPr="003E2514">
        <w:t xml:space="preserve"> complaining.</w:t>
      </w:r>
    </w:p>
    <w:p w:rsidR="00014566" w:rsidRPr="003E2514" w:rsidRDefault="006C0A2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5</w:t>
      </w:r>
      <w:r w:rsidRPr="003E2514">
        <w:fldChar w:fldCharType="end"/>
      </w:r>
      <w:r w:rsidR="00014566" w:rsidRPr="003E2514">
        <w:t>.  </w:t>
      </w:r>
      <w:r w:rsidRPr="003E2514">
        <w:t xml:space="preserve">On </w:t>
      </w:r>
      <w:r w:rsidR="00E81F1E" w:rsidRPr="003E2514">
        <w:t>3 September</w:t>
      </w:r>
      <w:r w:rsidR="00B800EB" w:rsidRPr="003E2514">
        <w:t xml:space="preserve"> 2015</w:t>
      </w:r>
      <w:r w:rsidR="00E81F1E" w:rsidRPr="003E2514">
        <w:t xml:space="preserve"> </w:t>
      </w:r>
      <w:r w:rsidR="00014566" w:rsidRPr="003E2514">
        <w:t xml:space="preserve">the </w:t>
      </w:r>
      <w:r w:rsidRPr="003E2514">
        <w:t>applications were communicated to the Government</w:t>
      </w:r>
      <w:r w:rsidR="00014566" w:rsidRPr="003E2514">
        <w:t>.</w:t>
      </w:r>
    </w:p>
    <w:p w:rsidR="00014566" w:rsidRPr="003E2514" w:rsidRDefault="00014566" w:rsidP="003E2514">
      <w:pPr>
        <w:pStyle w:val="ECHRTitle1"/>
      </w:pPr>
      <w:r w:rsidRPr="003E2514">
        <w:t>THE FACTS</w:t>
      </w:r>
    </w:p>
    <w:p w:rsidR="00014566" w:rsidRPr="003E2514" w:rsidRDefault="00014566" w:rsidP="003E2514">
      <w:pPr>
        <w:pStyle w:val="ECHRHeading1"/>
      </w:pPr>
      <w:r w:rsidRPr="003E2514">
        <w:t>I.  THE CIRCUMSTANCES OF THE CASE</w:t>
      </w:r>
    </w:p>
    <w:p w:rsidR="00A16738" w:rsidRPr="003E2514" w:rsidRDefault="00863F76"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6</w:t>
      </w:r>
      <w:r w:rsidRPr="003E2514">
        <w:fldChar w:fldCharType="end"/>
      </w:r>
      <w:r w:rsidRPr="003E2514">
        <w:t>.  </w:t>
      </w:r>
      <w:r w:rsidR="00AD50A9" w:rsidRPr="003E2514">
        <w:t>T</w:t>
      </w:r>
      <w:r w:rsidR="00A16738" w:rsidRPr="003E2514">
        <w:t xml:space="preserve">he first applicant was born in 1978 and lives in Turin. The second applicant was born in 1975 and </w:t>
      </w:r>
      <w:r w:rsidR="005242C1" w:rsidRPr="003E2514">
        <w:t>was</w:t>
      </w:r>
      <w:r w:rsidR="00A16738" w:rsidRPr="003E2514">
        <w:t xml:space="preserve"> detained in Turin</w:t>
      </w:r>
      <w:r w:rsidR="005242C1" w:rsidRPr="003E2514">
        <w:t xml:space="preserve"> </w:t>
      </w:r>
      <w:r w:rsidR="002D1A21" w:rsidRPr="003E2514">
        <w:t xml:space="preserve">up to </w:t>
      </w:r>
      <w:r w:rsidR="005242C1" w:rsidRPr="003E2514">
        <w:t>the time of his death</w:t>
      </w:r>
      <w:r w:rsidR="00D150D7" w:rsidRPr="003E2514">
        <w:t xml:space="preserve"> on </w:t>
      </w:r>
      <w:r w:rsidR="00113F6E" w:rsidRPr="003E2514">
        <w:t>10 Janua</w:t>
      </w:r>
      <w:r w:rsidR="00D150D7" w:rsidRPr="003E2514">
        <w:t>ry 2017</w:t>
      </w:r>
      <w:r w:rsidR="00A16738" w:rsidRPr="003E2514">
        <w:t>.</w:t>
      </w:r>
    </w:p>
    <w:p w:rsidR="00986D96" w:rsidRPr="003E2514" w:rsidRDefault="00D92E33" w:rsidP="003E2514">
      <w:pPr>
        <w:pStyle w:val="ECHRHeading2"/>
      </w:pPr>
      <w:r w:rsidRPr="003E2514">
        <w:t>A</w:t>
      </w:r>
      <w:r w:rsidR="00F17BC8" w:rsidRPr="003E2514">
        <w:t>.  </w:t>
      </w:r>
      <w:r w:rsidR="00863F76" w:rsidRPr="003E2514">
        <w:t>The events of December 2004</w:t>
      </w:r>
    </w:p>
    <w:p w:rsidR="00986D96" w:rsidRPr="003E2514" w:rsidRDefault="00863F76"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7</w:t>
      </w:r>
      <w:r w:rsidRPr="003E2514">
        <w:fldChar w:fldCharType="end"/>
      </w:r>
      <w:r w:rsidRPr="003E2514">
        <w:t>.  In 2004 the applicants were detained in the Asti Correctional Facility.</w:t>
      </w:r>
    </w:p>
    <w:p w:rsidR="00986D96" w:rsidRPr="003E2514" w:rsidRDefault="00863F76"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8</w:t>
      </w:r>
      <w:r w:rsidRPr="003E2514">
        <w:fldChar w:fldCharType="end"/>
      </w:r>
      <w:r w:rsidRPr="003E2514">
        <w:t>.  On 10 December 2004 the second applicant intervened in a fight that had broken out between the first applicant and a prison officer.</w:t>
      </w:r>
    </w:p>
    <w:p w:rsidR="00821466" w:rsidRPr="003E2514" w:rsidRDefault="00AE638B" w:rsidP="003E2514">
      <w:pPr>
        <w:pStyle w:val="ECHRPara"/>
        <w:tabs>
          <w:tab w:val="left" w:pos="726"/>
        </w:tabs>
      </w:pPr>
      <w:r w:rsidRPr="003E2514">
        <w:fldChar w:fldCharType="begin"/>
      </w:r>
      <w:r w:rsidRPr="003E2514">
        <w:instrText xml:space="preserve"> SEQ level0 \*arabic </w:instrText>
      </w:r>
      <w:r w:rsidRPr="003E2514">
        <w:fldChar w:fldCharType="separate"/>
      </w:r>
      <w:r w:rsidR="003E2514" w:rsidRPr="003E2514">
        <w:rPr>
          <w:noProof/>
        </w:rPr>
        <w:t>9</w:t>
      </w:r>
      <w:r w:rsidRPr="003E2514">
        <w:rPr>
          <w:noProof/>
        </w:rPr>
        <w:fldChar w:fldCharType="end"/>
      </w:r>
      <w:r w:rsidR="000739F2" w:rsidRPr="003E2514">
        <w:t>.  </w:t>
      </w:r>
      <w:r w:rsidR="00821466" w:rsidRPr="003E2514">
        <w:t xml:space="preserve">The manner in which the impugned events </w:t>
      </w:r>
      <w:r w:rsidR="000739F2" w:rsidRPr="003E2514">
        <w:t>occurred</w:t>
      </w:r>
      <w:r w:rsidR="00821466" w:rsidRPr="003E2514">
        <w:t xml:space="preserve">, as submitted by the applicants and as </w:t>
      </w:r>
      <w:r w:rsidR="00662911" w:rsidRPr="003E2514">
        <w:t>it emerges</w:t>
      </w:r>
      <w:r w:rsidR="00821466" w:rsidRPr="003E2514">
        <w:t xml:space="preserve"> from the</w:t>
      </w:r>
      <w:r w:rsidR="008D13BF" w:rsidRPr="003E2514">
        <w:t>ir witness statements</w:t>
      </w:r>
      <w:r w:rsidR="00986D96" w:rsidRPr="003E2514">
        <w:t xml:space="preserve"> </w:t>
      </w:r>
      <w:r w:rsidR="00821466" w:rsidRPr="003E2514">
        <w:t>during the domestic proceedings, may be summarised as follows.</w:t>
      </w:r>
    </w:p>
    <w:p w:rsidR="002D3DED" w:rsidRPr="003E2514" w:rsidRDefault="00D92E33" w:rsidP="003E2514">
      <w:pPr>
        <w:pStyle w:val="ECHRHeading3"/>
      </w:pPr>
      <w:r w:rsidRPr="003E2514">
        <w:t>1.</w:t>
      </w:r>
      <w:r w:rsidR="00F17BC8" w:rsidRPr="003E2514">
        <w:t>  </w:t>
      </w:r>
      <w:r w:rsidR="002D3DED" w:rsidRPr="003E2514">
        <w:t>The first applicant</w:t>
      </w:r>
      <w:r w:rsidR="003E2514" w:rsidRPr="003E2514">
        <w:t>’</w:t>
      </w:r>
      <w:r w:rsidR="002D3DED" w:rsidRPr="003E2514">
        <w:t>s account</w:t>
      </w:r>
    </w:p>
    <w:p w:rsidR="00986D96" w:rsidRPr="003E2514" w:rsidRDefault="002D3DED"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10</w:t>
      </w:r>
      <w:r w:rsidRPr="003E2514">
        <w:fldChar w:fldCharType="end"/>
      </w:r>
      <w:r w:rsidRPr="003E2514">
        <w:t xml:space="preserve">.  On 10 December </w:t>
      </w:r>
      <w:r w:rsidR="000A036B" w:rsidRPr="003E2514">
        <w:t xml:space="preserve">2004, following </w:t>
      </w:r>
      <w:r w:rsidR="00E04BAD" w:rsidRPr="003E2514">
        <w:t>an</w:t>
      </w:r>
      <w:r w:rsidR="000A036B" w:rsidRPr="003E2514">
        <w:t xml:space="preserve"> </w:t>
      </w:r>
      <w:r w:rsidR="00E31200" w:rsidRPr="003E2514">
        <w:t xml:space="preserve">altercation </w:t>
      </w:r>
      <w:r w:rsidR="000A036B" w:rsidRPr="003E2514">
        <w:t>with the</w:t>
      </w:r>
      <w:r w:rsidRPr="003E2514">
        <w:t xml:space="preserve"> prison officer, the first applicant was summoned to a meeting with the</w:t>
      </w:r>
      <w:r w:rsidR="00914CF0" w:rsidRPr="003E2514">
        <w:t xml:space="preserve"> correctional</w:t>
      </w:r>
      <w:r w:rsidRPr="003E2514">
        <w:t xml:space="preserve"> </w:t>
      </w:r>
      <w:r w:rsidR="00914CF0" w:rsidRPr="003E2514">
        <w:t>unit commander</w:t>
      </w:r>
      <w:r w:rsidRPr="003E2514">
        <w:rPr>
          <w:i/>
        </w:rPr>
        <w:t xml:space="preserve"> </w:t>
      </w:r>
      <w:r w:rsidRPr="003E2514">
        <w:t>(</w:t>
      </w:r>
      <w:proofErr w:type="spellStart"/>
      <w:r w:rsidRPr="003E2514">
        <w:rPr>
          <w:i/>
        </w:rPr>
        <w:t>comandante</w:t>
      </w:r>
      <w:proofErr w:type="spellEnd"/>
      <w:r w:rsidRPr="003E2514">
        <w:rPr>
          <w:i/>
        </w:rPr>
        <w:t xml:space="preserve"> di </w:t>
      </w:r>
      <w:proofErr w:type="spellStart"/>
      <w:r w:rsidRPr="003E2514">
        <w:rPr>
          <w:i/>
        </w:rPr>
        <w:t>reparto</w:t>
      </w:r>
      <w:proofErr w:type="spellEnd"/>
      <w:r w:rsidRPr="003E2514">
        <w:rPr>
          <w:i/>
        </w:rPr>
        <w:t xml:space="preserve"> </w:t>
      </w:r>
      <w:proofErr w:type="spellStart"/>
      <w:r w:rsidRPr="003E2514">
        <w:rPr>
          <w:i/>
        </w:rPr>
        <w:t>della</w:t>
      </w:r>
      <w:proofErr w:type="spellEnd"/>
      <w:r w:rsidRPr="003E2514">
        <w:rPr>
          <w:i/>
        </w:rPr>
        <w:t xml:space="preserve"> </w:t>
      </w:r>
      <w:proofErr w:type="spellStart"/>
      <w:r w:rsidRPr="003E2514">
        <w:rPr>
          <w:i/>
        </w:rPr>
        <w:t>polizia</w:t>
      </w:r>
      <w:proofErr w:type="spellEnd"/>
      <w:r w:rsidRPr="003E2514">
        <w:rPr>
          <w:i/>
        </w:rPr>
        <w:t xml:space="preserve"> </w:t>
      </w:r>
      <w:proofErr w:type="spellStart"/>
      <w:r w:rsidRPr="003E2514">
        <w:rPr>
          <w:i/>
        </w:rPr>
        <w:t>penitenziaria</w:t>
      </w:r>
      <w:proofErr w:type="spellEnd"/>
      <w:r w:rsidRPr="003E2514">
        <w:t>)</w:t>
      </w:r>
      <w:r w:rsidRPr="003E2514">
        <w:rPr>
          <w:i/>
        </w:rPr>
        <w:t>.</w:t>
      </w:r>
      <w:r w:rsidRPr="003E2514">
        <w:t xml:space="preserve"> Before he reached the </w:t>
      </w:r>
      <w:r w:rsidR="00914CF0" w:rsidRPr="003E2514">
        <w:t>commander</w:t>
      </w:r>
      <w:r w:rsidR="003E2514" w:rsidRPr="003E2514">
        <w:t>’</w:t>
      </w:r>
      <w:r w:rsidR="00914CF0" w:rsidRPr="003E2514">
        <w:t>s</w:t>
      </w:r>
      <w:r w:rsidRPr="003E2514">
        <w:t xml:space="preserve"> office</w:t>
      </w:r>
      <w:r w:rsidR="007A4D65" w:rsidRPr="003E2514">
        <w:t>,</w:t>
      </w:r>
      <w:r w:rsidRPr="003E2514">
        <w:t xml:space="preserve"> he was stopped by </w:t>
      </w:r>
      <w:r w:rsidR="000964DB" w:rsidRPr="003E2514">
        <w:t>a group of</w:t>
      </w:r>
      <w:r w:rsidRPr="003E2514">
        <w:t xml:space="preserve"> prison officers, who took turns beating</w:t>
      </w:r>
      <w:r w:rsidR="00B354C2" w:rsidRPr="003E2514">
        <w:t xml:space="preserve"> him.</w:t>
      </w:r>
      <w:r w:rsidRPr="003E2514">
        <w:t xml:space="preserve"> Following the meeting, he was stripped of his clothes and led to a cell in the solitary confinement wing.</w:t>
      </w:r>
    </w:p>
    <w:p w:rsidR="002D3DED" w:rsidRPr="003E2514" w:rsidRDefault="002D3DED"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11</w:t>
      </w:r>
      <w:r w:rsidRPr="003E2514">
        <w:fldChar w:fldCharType="end"/>
      </w:r>
      <w:r w:rsidRPr="003E2514">
        <w:t xml:space="preserve">.  The only item of furniture in the cell was a bed with no mattress, bed linen or covers. As to sanitary facilities, the cell had a squat toilet without running water and was not equipped with a sink. The cell window had no window panes and the only source of heating was a small, malfunctioning radiator, which provided little protection against the December weather. </w:t>
      </w:r>
      <w:r w:rsidR="00A503A6" w:rsidRPr="003E2514">
        <w:t>For a number of days, although it is unclear for how many exactly, he was left naked.</w:t>
      </w:r>
    </w:p>
    <w:p w:rsidR="00986D96" w:rsidRPr="003E2514" w:rsidRDefault="002D3DED"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12</w:t>
      </w:r>
      <w:r w:rsidRPr="003E2514">
        <w:fldChar w:fldCharType="end"/>
      </w:r>
      <w:r w:rsidR="00F17BC8" w:rsidRPr="003E2514">
        <w:t>.  </w:t>
      </w:r>
      <w:r w:rsidR="008000E5" w:rsidRPr="003E2514">
        <w:t>D</w:t>
      </w:r>
      <w:r w:rsidRPr="003E2514">
        <w:t xml:space="preserve">uring the first week of his detention in solitary confinement no food was provided and he was given </w:t>
      </w:r>
      <w:r w:rsidR="00FD2FB9" w:rsidRPr="003E2514">
        <w:t xml:space="preserve">only </w:t>
      </w:r>
      <w:r w:rsidRPr="003E2514">
        <w:t>sca</w:t>
      </w:r>
      <w:r w:rsidR="00FD2FB9" w:rsidRPr="003E2514">
        <w:t>nt</w:t>
      </w:r>
      <w:r w:rsidRPr="003E2514">
        <w:t xml:space="preserve"> amounts of water. H</w:t>
      </w:r>
      <w:r w:rsidR="00FD2FB9" w:rsidRPr="003E2514">
        <w:t>e</w:t>
      </w:r>
      <w:r w:rsidRPr="003E2514">
        <w:t xml:space="preserve"> was subsequently</w:t>
      </w:r>
      <w:r w:rsidR="00FD2FB9" w:rsidRPr="003E2514">
        <w:t xml:space="preserve"> given</w:t>
      </w:r>
      <w:r w:rsidRPr="003E2514">
        <w:t xml:space="preserve"> rationed</w:t>
      </w:r>
      <w:r w:rsidR="00FD2FB9" w:rsidRPr="003E2514">
        <w:t xml:space="preserve"> quantities of food</w:t>
      </w:r>
      <w:r w:rsidRPr="003E2514">
        <w:t>.</w:t>
      </w:r>
    </w:p>
    <w:p w:rsidR="00986D96" w:rsidRPr="003E2514" w:rsidRDefault="00AE638B" w:rsidP="003E2514">
      <w:pPr>
        <w:pStyle w:val="ECHRPara"/>
      </w:pPr>
      <w:r w:rsidRPr="003E2514">
        <w:lastRenderedPageBreak/>
        <w:fldChar w:fldCharType="begin"/>
      </w:r>
      <w:r w:rsidRPr="003E2514">
        <w:instrText xml:space="preserve"> SEQ level0 \*arabic </w:instrText>
      </w:r>
      <w:r w:rsidRPr="003E2514">
        <w:fldChar w:fldCharType="separate"/>
      </w:r>
      <w:r w:rsidR="003E2514" w:rsidRPr="003E2514">
        <w:rPr>
          <w:noProof/>
        </w:rPr>
        <w:t>13</w:t>
      </w:r>
      <w:r w:rsidRPr="003E2514">
        <w:rPr>
          <w:noProof/>
        </w:rPr>
        <w:fldChar w:fldCharType="end"/>
      </w:r>
      <w:r w:rsidR="002D3DED" w:rsidRPr="003E2514">
        <w:t>.  He was beaten on a daily basis, several times per day. He was repeatedly punched, kicked and hit in the head by prison officers, who assaulted him in groups of varying sizes.</w:t>
      </w:r>
    </w:p>
    <w:p w:rsidR="00986D96" w:rsidRPr="003E2514" w:rsidRDefault="002D3DED"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14</w:t>
      </w:r>
      <w:r w:rsidRPr="003E2514">
        <w:fldChar w:fldCharType="end"/>
      </w:r>
      <w:r w:rsidRPr="003E2514">
        <w:t>.  He was also subjected to sleep deprivation, as the beatings often took place at night and the prison officers verbally abused him in order to keep him awake.</w:t>
      </w:r>
    </w:p>
    <w:p w:rsidR="00986D96" w:rsidRPr="003E2514" w:rsidRDefault="002D3DED"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15</w:t>
      </w:r>
      <w:r w:rsidRPr="003E2514">
        <w:fldChar w:fldCharType="end"/>
      </w:r>
      <w:r w:rsidRPr="003E2514">
        <w:t>.  During the detention in solitary confinement the applicant did not receive visits from his lawyer or his family.</w:t>
      </w:r>
    </w:p>
    <w:p w:rsidR="002D3DED" w:rsidRPr="003E2514" w:rsidRDefault="00D92E33" w:rsidP="003E2514">
      <w:pPr>
        <w:pStyle w:val="ECHRHeading3"/>
      </w:pPr>
      <w:r w:rsidRPr="003E2514">
        <w:t>2.</w:t>
      </w:r>
      <w:r w:rsidR="00974884" w:rsidRPr="003E2514">
        <w:t>  </w:t>
      </w:r>
      <w:r w:rsidR="002D3DED" w:rsidRPr="003E2514">
        <w:t xml:space="preserve">The </w:t>
      </w:r>
      <w:r w:rsidR="006B37FF" w:rsidRPr="003E2514">
        <w:t>second</w:t>
      </w:r>
      <w:r w:rsidR="002D3DED" w:rsidRPr="003E2514">
        <w:t xml:space="preserve"> applicant</w:t>
      </w:r>
      <w:r w:rsidR="003E2514" w:rsidRPr="003E2514">
        <w:t>’</w:t>
      </w:r>
      <w:r w:rsidR="002D3DED" w:rsidRPr="003E2514">
        <w:t>s account</w:t>
      </w:r>
    </w:p>
    <w:p w:rsidR="00986D96" w:rsidRPr="003E2514" w:rsidRDefault="00863F76"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16</w:t>
      </w:r>
      <w:r w:rsidRPr="003E2514">
        <w:fldChar w:fldCharType="end"/>
      </w:r>
      <w:r w:rsidRPr="003E2514">
        <w:t xml:space="preserve">.  On 10 December 2004, </w:t>
      </w:r>
      <w:r w:rsidR="00624E90" w:rsidRPr="003E2514">
        <w:t>following</w:t>
      </w:r>
      <w:r w:rsidRPr="003E2514">
        <w:t xml:space="preserve"> the </w:t>
      </w:r>
      <w:r w:rsidR="00E04BAD" w:rsidRPr="003E2514">
        <w:t xml:space="preserve">same </w:t>
      </w:r>
      <w:r w:rsidRPr="003E2514">
        <w:t>altercation</w:t>
      </w:r>
      <w:r w:rsidR="00624E90" w:rsidRPr="003E2514">
        <w:t xml:space="preserve"> with the prison officer</w:t>
      </w:r>
      <w:r w:rsidRPr="003E2514">
        <w:t xml:space="preserve">, the second applicant was stripped of his clothes and led to a cell in the solitary confinement wing of the correctional facility. The bed in the cell had no mattress, sheets or covers, and the cell had no sink. </w:t>
      </w:r>
      <w:r w:rsidR="000B37DC" w:rsidRPr="003E2514">
        <w:t>Initially t</w:t>
      </w:r>
      <w:r w:rsidRPr="003E2514">
        <w:t>here were no panes in the windows, which were covered with some plastic sheeting after</w:t>
      </w:r>
      <w:r w:rsidR="00624E90" w:rsidRPr="003E2514">
        <w:t xml:space="preserve"> an unspecified number of days. </w:t>
      </w:r>
      <w:r w:rsidRPr="003E2514">
        <w:t xml:space="preserve">For a number of days, although it is </w:t>
      </w:r>
      <w:r w:rsidR="0079245C" w:rsidRPr="003E2514">
        <w:t>unclear</w:t>
      </w:r>
      <w:r w:rsidRPr="003E2514">
        <w:t xml:space="preserve"> for how many</w:t>
      </w:r>
      <w:r w:rsidR="0079245C" w:rsidRPr="003E2514">
        <w:t xml:space="preserve"> exactly</w:t>
      </w:r>
      <w:r w:rsidRPr="003E2514">
        <w:t>, he was left naked. He was subsequently given some light clothing.</w:t>
      </w:r>
    </w:p>
    <w:p w:rsidR="00986D96" w:rsidRPr="003E2514" w:rsidRDefault="00863F76"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17</w:t>
      </w:r>
      <w:r w:rsidRPr="003E2514">
        <w:fldChar w:fldCharType="end"/>
      </w:r>
      <w:r w:rsidRPr="003E2514">
        <w:t>.  The applicant</w:t>
      </w:r>
      <w:r w:rsidR="003E2514" w:rsidRPr="003E2514">
        <w:t>’</w:t>
      </w:r>
      <w:r w:rsidRPr="003E2514">
        <w:t xml:space="preserve">s food was rationed, and at certain times he was </w:t>
      </w:r>
      <w:r w:rsidR="00FD2FB9" w:rsidRPr="003E2514">
        <w:t xml:space="preserve">given </w:t>
      </w:r>
      <w:r w:rsidRPr="003E2514">
        <w:t xml:space="preserve">only bread and water. </w:t>
      </w:r>
      <w:r w:rsidR="00AC0DE7" w:rsidRPr="003E2514">
        <w:t xml:space="preserve">On some </w:t>
      </w:r>
      <w:r w:rsidR="006437C9" w:rsidRPr="003E2514">
        <w:t xml:space="preserve">days </w:t>
      </w:r>
      <w:r w:rsidRPr="003E2514">
        <w:t>he received no food at all.</w:t>
      </w:r>
    </w:p>
    <w:p w:rsidR="00986D96" w:rsidRPr="003E2514" w:rsidRDefault="00863F76"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18</w:t>
      </w:r>
      <w:r w:rsidRPr="003E2514">
        <w:fldChar w:fldCharType="end"/>
      </w:r>
      <w:r w:rsidRPr="003E2514">
        <w:t>.  The applicant was beaten by prison officers, often more than once per day. He was subjected to various forms of physical violence, including being repeatedly punched, kicked and slapped, at one point with his head being pinned to the ground by one of the prison officers</w:t>
      </w:r>
      <w:r w:rsidR="003E2514" w:rsidRPr="003E2514">
        <w:t>’</w:t>
      </w:r>
      <w:r w:rsidRPr="003E2514">
        <w:t xml:space="preserve"> boots. The</w:t>
      </w:r>
      <w:r w:rsidR="009A24B6" w:rsidRPr="003E2514">
        <w:t xml:space="preserve"> </w:t>
      </w:r>
      <w:r w:rsidRPr="003E2514">
        <w:t xml:space="preserve">beatings occurred both during the day and at night. The applicant was beaten by four or five officers at a time. One </w:t>
      </w:r>
      <w:r w:rsidR="000C0520" w:rsidRPr="003E2514">
        <w:t>prison</w:t>
      </w:r>
      <w:r w:rsidRPr="003E2514">
        <w:t xml:space="preserve"> officer ripped out</w:t>
      </w:r>
      <w:r w:rsidR="0042209B" w:rsidRPr="003E2514">
        <w:t xml:space="preserve"> a chunk of </w:t>
      </w:r>
      <w:r w:rsidR="00FF517E" w:rsidRPr="003E2514">
        <w:t>his hair</w:t>
      </w:r>
      <w:r w:rsidRPr="003E2514">
        <w:t>.</w:t>
      </w:r>
    </w:p>
    <w:p w:rsidR="00863F76" w:rsidRPr="003E2514" w:rsidRDefault="00370BD4"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19</w:t>
      </w:r>
      <w:r w:rsidRPr="003E2514">
        <w:fldChar w:fldCharType="end"/>
      </w:r>
      <w:r w:rsidRPr="003E2514">
        <w:t>.  </w:t>
      </w:r>
      <w:r w:rsidR="009F0ADE" w:rsidRPr="003E2514">
        <w:t>On</w:t>
      </w:r>
      <w:r w:rsidR="00863F76" w:rsidRPr="003E2514">
        <w:t xml:space="preserve"> 16 December 2004 </w:t>
      </w:r>
      <w:r w:rsidR="00E72693" w:rsidRPr="003E2514">
        <w:t>he</w:t>
      </w:r>
      <w:r w:rsidR="00863F76" w:rsidRPr="003E2514">
        <w:t xml:space="preserve"> was admitted to </w:t>
      </w:r>
      <w:r w:rsidR="00E72693" w:rsidRPr="003E2514">
        <w:t xml:space="preserve">the </w:t>
      </w:r>
      <w:r w:rsidR="005812B5" w:rsidRPr="003E2514">
        <w:t>hospital.</w:t>
      </w:r>
    </w:p>
    <w:p w:rsidR="00986D96" w:rsidRPr="003E2514" w:rsidRDefault="00863F76"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20</w:t>
      </w:r>
      <w:r w:rsidRPr="003E2514">
        <w:fldChar w:fldCharType="end"/>
      </w:r>
      <w:r w:rsidRPr="003E2514">
        <w:t>.  During the period he spent in solitary confinement he was only allowed outside the cell twice, once to shower and once for some outdoor time.</w:t>
      </w:r>
    </w:p>
    <w:p w:rsidR="00863F76" w:rsidRPr="003E2514" w:rsidRDefault="002A44A2" w:rsidP="003E2514">
      <w:pPr>
        <w:pStyle w:val="ECHRHeading2"/>
      </w:pPr>
      <w:r w:rsidRPr="003E2514">
        <w:t>B</w:t>
      </w:r>
      <w:r w:rsidR="00974884" w:rsidRPr="003E2514">
        <w:t>.  </w:t>
      </w:r>
      <w:r w:rsidR="00863F76" w:rsidRPr="003E2514">
        <w:t>Criminal proceedings against the prison officers</w:t>
      </w:r>
    </w:p>
    <w:bookmarkStart w:id="2" w:name="Investigation_ex_officio"/>
    <w:p w:rsidR="00B065F6" w:rsidRPr="003E2514" w:rsidRDefault="00946DFE"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21</w:t>
      </w:r>
      <w:r w:rsidRPr="003E2514">
        <w:fldChar w:fldCharType="end"/>
      </w:r>
      <w:bookmarkEnd w:id="2"/>
      <w:r w:rsidRPr="003E2514">
        <w:t>.  A</w:t>
      </w:r>
      <w:r w:rsidR="00AC2F76" w:rsidRPr="003E2514">
        <w:t xml:space="preserve"> criminal </w:t>
      </w:r>
      <w:r w:rsidRPr="003E2514">
        <w:t xml:space="preserve">investigation into the impugned </w:t>
      </w:r>
      <w:r w:rsidR="00EB00EC" w:rsidRPr="003E2514">
        <w:t xml:space="preserve">treatment </w:t>
      </w:r>
      <w:r w:rsidRPr="003E2514">
        <w:t>was launched</w:t>
      </w:r>
      <w:r w:rsidR="0059467F" w:rsidRPr="003E2514">
        <w:t xml:space="preserve"> </w:t>
      </w:r>
      <w:r w:rsidRPr="003E2514">
        <w:t>in 2005</w:t>
      </w:r>
      <w:r w:rsidR="007170CE" w:rsidRPr="003E2514">
        <w:t xml:space="preserve">. It was initiated </w:t>
      </w:r>
      <w:r w:rsidRPr="003E2514">
        <w:t>when</w:t>
      </w:r>
      <w:r w:rsidR="001B5913" w:rsidRPr="003E2514">
        <w:t xml:space="preserve"> it emerged</w:t>
      </w:r>
      <w:r w:rsidRPr="003E2514">
        <w:t xml:space="preserve">, in the context of covert surveillance in an operation to investigate drug smuggling in the Asti correctional facility, that a number of </w:t>
      </w:r>
      <w:r w:rsidR="00AC0DE7" w:rsidRPr="003E2514">
        <w:t xml:space="preserve">the </w:t>
      </w:r>
      <w:r w:rsidR="00DA050E" w:rsidRPr="003E2514">
        <w:t xml:space="preserve">prison </w:t>
      </w:r>
      <w:r w:rsidRPr="003E2514">
        <w:t xml:space="preserve">officers </w:t>
      </w:r>
      <w:r w:rsidR="00AC0DE7" w:rsidRPr="003E2514">
        <w:t xml:space="preserve">had </w:t>
      </w:r>
      <w:r w:rsidRPr="003E2514">
        <w:t xml:space="preserve">discussed the ill-treatment </w:t>
      </w:r>
      <w:r w:rsidR="001B5913" w:rsidRPr="003E2514">
        <w:t>inflicted on</w:t>
      </w:r>
      <w:r w:rsidRPr="003E2514">
        <w:t xml:space="preserve"> the applicants.</w:t>
      </w:r>
    </w:p>
    <w:p w:rsidR="00986D96" w:rsidRPr="003E2514" w:rsidRDefault="00863F76"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22</w:t>
      </w:r>
      <w:r w:rsidRPr="003E2514">
        <w:fldChar w:fldCharType="end"/>
      </w:r>
      <w:r w:rsidRPr="003E2514">
        <w:t xml:space="preserve">.  On 7 July 2011 five prison officers, C.B., D.B., M.S., A.D., and G.S., were committed for trial. They were charged with ill-treatment </w:t>
      </w:r>
      <w:r w:rsidR="00AC0DE7" w:rsidRPr="003E2514">
        <w:t xml:space="preserve">of </w:t>
      </w:r>
      <w:r w:rsidRPr="003E2514">
        <w:t xml:space="preserve">the applicants under Article 572 of the Italian Criminal Code (“the Criminal Code”), in conjunction with Article 61 § 9 of the Criminal Code, a provision </w:t>
      </w:r>
      <w:r w:rsidRPr="003E2514">
        <w:lastRenderedPageBreak/>
        <w:t>which considers the commission of an offence by a civil servant abusing his or her position</w:t>
      </w:r>
      <w:r w:rsidR="00AC0DE7" w:rsidRPr="003E2514">
        <w:t xml:space="preserve"> to be an aggravating circumstance</w:t>
      </w:r>
      <w:r w:rsidRPr="003E2514">
        <w:t>.</w:t>
      </w:r>
    </w:p>
    <w:p w:rsidR="00952F87"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23</w:t>
      </w:r>
      <w:r w:rsidRPr="003E2514">
        <w:rPr>
          <w:noProof/>
        </w:rPr>
        <w:fldChar w:fldCharType="end"/>
      </w:r>
      <w:r w:rsidR="00CC26F9" w:rsidRPr="003E2514">
        <w:t>.  </w:t>
      </w:r>
      <w:r w:rsidR="00863F76" w:rsidRPr="003E2514">
        <w:t>On the same date the applicants joined the proceedings as civil parties.</w:t>
      </w:r>
    </w:p>
    <w:p w:rsidR="00863F76" w:rsidRPr="003E2514" w:rsidRDefault="00974884" w:rsidP="003E2514">
      <w:pPr>
        <w:pStyle w:val="ECHRHeading3"/>
        <w:rPr>
          <w:lang w:bidi="en-US"/>
        </w:rPr>
      </w:pPr>
      <w:r w:rsidRPr="003E2514">
        <w:rPr>
          <w:lang w:bidi="en-US"/>
        </w:rPr>
        <w:t>1.  </w:t>
      </w:r>
      <w:r w:rsidR="00863F76" w:rsidRPr="003E2514">
        <w:rPr>
          <w:lang w:bidi="en-US"/>
        </w:rPr>
        <w:t>Proceedings before the Asti District Court</w:t>
      </w:r>
    </w:p>
    <w:bookmarkStart w:id="3" w:name="Asti_judgment"/>
    <w:p w:rsidR="00863F76" w:rsidRPr="003E2514" w:rsidRDefault="00C513C1"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24</w:t>
      </w:r>
      <w:r w:rsidRPr="003E2514">
        <w:rPr>
          <w:noProof/>
        </w:rPr>
        <w:fldChar w:fldCharType="end"/>
      </w:r>
      <w:bookmarkEnd w:id="3"/>
      <w:r w:rsidR="00863F76" w:rsidRPr="003E2514">
        <w:t>.  The Asti District Court</w:t>
      </w:r>
      <w:r w:rsidR="003E2514" w:rsidRPr="003E2514">
        <w:t>’</w:t>
      </w:r>
      <w:r w:rsidR="00945B02" w:rsidRPr="003E2514">
        <w:t>s judgment was delivered on 30 </w:t>
      </w:r>
      <w:r w:rsidR="00863F76" w:rsidRPr="003E2514">
        <w:t>January</w:t>
      </w:r>
      <w:r w:rsidR="009A24B6" w:rsidRPr="003E2514">
        <w:t xml:space="preserve"> </w:t>
      </w:r>
      <w:r w:rsidR="00863F76" w:rsidRPr="003E2514">
        <w:t>2012. Its findings may be summarised as follows.</w:t>
      </w:r>
    </w:p>
    <w:bookmarkStart w:id="4" w:name="First_Instance_Facts"/>
    <w:p w:rsidR="00986D96" w:rsidRPr="003E2514" w:rsidRDefault="00EB02B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25</w:t>
      </w:r>
      <w:r w:rsidRPr="003E2514">
        <w:rPr>
          <w:noProof/>
        </w:rPr>
        <w:fldChar w:fldCharType="end"/>
      </w:r>
      <w:bookmarkEnd w:id="4"/>
      <w:r w:rsidR="00863F76" w:rsidRPr="003E2514">
        <w:t>.  As to the establishment of the facts concerning the ill-treatment, the court found that the evidence gathered during the investigation and produced at the trial showed that the events had occurred in the manner described by the victims</w:t>
      </w:r>
      <w:r w:rsidR="0054226A" w:rsidRPr="003E2514">
        <w:t xml:space="preserve"> in their </w:t>
      </w:r>
      <w:r w:rsidR="005433A2" w:rsidRPr="003E2514">
        <w:t>submissions during the trial</w:t>
      </w:r>
      <w:r w:rsidR="00863F76" w:rsidRPr="003E2514">
        <w:t>.</w:t>
      </w:r>
      <w:r w:rsidR="00986D96" w:rsidRPr="003E2514">
        <w:t xml:space="preserve"> </w:t>
      </w:r>
      <w:r w:rsidR="00A011DA" w:rsidRPr="003E2514">
        <w:t xml:space="preserve">The Court relied on statements to the effect that the applicants had been </w:t>
      </w:r>
      <w:r w:rsidR="00A86617" w:rsidRPr="003E2514">
        <w:t>subjected to physical and verbal abuse, coupled with the deprivation of food, water, sleep, and clothing, and had been detained in cells without adequate access to sanitation, heating, and bedding.</w:t>
      </w:r>
    </w:p>
    <w:bookmarkStart w:id="5" w:name="Sys"/>
    <w:p w:rsidR="00986D96" w:rsidRPr="003E2514" w:rsidRDefault="0081482D"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26</w:t>
      </w:r>
      <w:r w:rsidRPr="003E2514">
        <w:rPr>
          <w:noProof/>
        </w:rPr>
        <w:fldChar w:fldCharType="end"/>
      </w:r>
      <w:bookmarkEnd w:id="5"/>
      <w:r w:rsidR="00B77553" w:rsidRPr="003E2514">
        <w:t>.  </w:t>
      </w:r>
      <w:r w:rsidR="00863F76" w:rsidRPr="003E2514">
        <w:t>The court</w:t>
      </w:r>
      <w:r w:rsidR="00813D6F" w:rsidRPr="003E2514">
        <w:t xml:space="preserve"> further</w:t>
      </w:r>
      <w:r w:rsidR="00863F76" w:rsidRPr="003E2514">
        <w:t xml:space="preserve"> found it to be established beyond reasonable doubt that the applicants had been subjected not </w:t>
      </w:r>
      <w:r w:rsidR="002D1A21" w:rsidRPr="003E2514">
        <w:t xml:space="preserve">merely </w:t>
      </w:r>
      <w:r w:rsidR="00863F76" w:rsidRPr="003E2514">
        <w:t>to isolated acts of harassment and abuse, but to</w:t>
      </w:r>
      <w:r w:rsidR="00DD3CFA" w:rsidRPr="003E2514">
        <w:t xml:space="preserve"> </w:t>
      </w:r>
      <w:r w:rsidR="00952F87" w:rsidRPr="003E2514">
        <w:t>re</w:t>
      </w:r>
      <w:r w:rsidR="002D1A21" w:rsidRPr="003E2514">
        <w:t>p</w:t>
      </w:r>
      <w:r w:rsidR="00952F87" w:rsidRPr="003E2514">
        <w:t>eated</w:t>
      </w:r>
      <w:r w:rsidR="00863F76" w:rsidRPr="003E2514">
        <w:t xml:space="preserve"> </w:t>
      </w:r>
      <w:r w:rsidR="002D1A21" w:rsidRPr="003E2514">
        <w:t>ill-</w:t>
      </w:r>
      <w:r w:rsidR="00B54B4E" w:rsidRPr="003E2514">
        <w:t>treatment</w:t>
      </w:r>
      <w:r w:rsidR="00CC42B4" w:rsidRPr="003E2514">
        <w:t xml:space="preserve"> </w:t>
      </w:r>
      <w:r w:rsidR="00863F76" w:rsidRPr="003E2514">
        <w:t>which had been put into practice in a systematic manner.</w:t>
      </w:r>
    </w:p>
    <w:bookmarkStart w:id="6" w:name="Physical_violence_duration"/>
    <w:p w:rsidR="00863F76" w:rsidRPr="003E2514" w:rsidRDefault="00863F76"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27</w:t>
      </w:r>
      <w:r w:rsidRPr="003E2514">
        <w:fldChar w:fldCharType="end"/>
      </w:r>
      <w:bookmarkEnd w:id="6"/>
      <w:r w:rsidRPr="003E2514">
        <w:t>.  More specifically, the court found it established beyond reasonable doubt that the</w:t>
      </w:r>
      <w:r w:rsidR="004303F1" w:rsidRPr="003E2514">
        <w:t xml:space="preserve"> first and second</w:t>
      </w:r>
      <w:r w:rsidRPr="003E2514">
        <w:t xml:space="preserve"> applicants had been subjected to repeated physical violence from 10 to 29 December 2004 and from 10 to</w:t>
      </w:r>
      <w:r w:rsidR="00C84F41" w:rsidRPr="003E2514">
        <w:t xml:space="preserve"> 16</w:t>
      </w:r>
      <w:r w:rsidR="00B24E96" w:rsidRPr="003E2514">
        <w:t> </w:t>
      </w:r>
      <w:r w:rsidR="00C84F41" w:rsidRPr="003E2514">
        <w:t>December 2004 respectively</w:t>
      </w:r>
      <w:r w:rsidRPr="003E2514">
        <w:t xml:space="preserve">. </w:t>
      </w:r>
      <w:r w:rsidR="002C2C2F" w:rsidRPr="003E2514">
        <w:t xml:space="preserve">The court found that </w:t>
      </w:r>
      <w:r w:rsidR="00D40D60" w:rsidRPr="003E2514">
        <w:t xml:space="preserve">the beatings </w:t>
      </w:r>
      <w:r w:rsidR="002C2C2F" w:rsidRPr="003E2514">
        <w:t>occurred regularly at all times of the day</w:t>
      </w:r>
      <w:r w:rsidR="00BF2D7F" w:rsidRPr="003E2514">
        <w:t>,</w:t>
      </w:r>
      <w:r w:rsidR="002C2C2F" w:rsidRPr="003E2514">
        <w:t xml:space="preserve"> and</w:t>
      </w:r>
      <w:r w:rsidR="00FB3442" w:rsidRPr="003E2514">
        <w:t xml:space="preserve"> particularly at</w:t>
      </w:r>
      <w:r w:rsidR="002C2C2F" w:rsidRPr="003E2514">
        <w:t xml:space="preserve"> night.</w:t>
      </w:r>
    </w:p>
    <w:bookmarkStart w:id="7" w:name="Hospitalisation_court"/>
    <w:p w:rsidR="00986D96" w:rsidRPr="003E2514" w:rsidRDefault="005E0E0E"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28</w:t>
      </w:r>
      <w:r w:rsidRPr="003E2514">
        <w:fldChar w:fldCharType="end"/>
      </w:r>
      <w:bookmarkEnd w:id="7"/>
      <w:r w:rsidRPr="003E2514">
        <w:t>.  The court</w:t>
      </w:r>
      <w:r w:rsidR="00376F76" w:rsidRPr="003E2514">
        <w:t xml:space="preserve"> noted that the second applicant had been admitted to the emergency room </w:t>
      </w:r>
      <w:r w:rsidR="005F7EF0" w:rsidRPr="003E2514">
        <w:t xml:space="preserve">of the Asti Civil Hospital </w:t>
      </w:r>
      <w:r w:rsidR="0070124E" w:rsidRPr="003E2514">
        <w:t xml:space="preserve">on </w:t>
      </w:r>
      <w:r w:rsidR="004A760E" w:rsidRPr="003E2514">
        <w:t xml:space="preserve">16 </w:t>
      </w:r>
      <w:r w:rsidR="0070124E" w:rsidRPr="003E2514">
        <w:t>December</w:t>
      </w:r>
      <w:r w:rsidR="00143B56" w:rsidRPr="003E2514">
        <w:t xml:space="preserve"> 2004</w:t>
      </w:r>
      <w:r w:rsidR="00FB327A" w:rsidRPr="003E2514">
        <w:t xml:space="preserve"> with traumatic injuries</w:t>
      </w:r>
      <w:r w:rsidR="00143B56" w:rsidRPr="003E2514">
        <w:t>.</w:t>
      </w:r>
      <w:r w:rsidR="00FB327A" w:rsidRPr="003E2514">
        <w:t xml:space="preserve"> </w:t>
      </w:r>
      <w:r w:rsidR="00143B56" w:rsidRPr="003E2514">
        <w:t>With regard to the</w:t>
      </w:r>
      <w:r w:rsidR="00021D55" w:rsidRPr="003E2514">
        <w:t xml:space="preserve"> first applicant</w:t>
      </w:r>
      <w:r w:rsidR="005F7EF0" w:rsidRPr="003E2514">
        <w:t>, the court acknowledged his hospitalisation</w:t>
      </w:r>
      <w:r w:rsidR="00720041" w:rsidRPr="003E2514">
        <w:t xml:space="preserve"> following the events</w:t>
      </w:r>
      <w:r w:rsidR="00D8588B" w:rsidRPr="003E2514">
        <w:t xml:space="preserve"> </w:t>
      </w:r>
      <w:r w:rsidR="005F7EF0" w:rsidRPr="003E2514">
        <w:t>without citing a date or specific medical documentation to this effect.</w:t>
      </w:r>
    </w:p>
    <w:bookmarkStart w:id="8" w:name="Policy_ill_treatment"/>
    <w:p w:rsidR="00986D96" w:rsidRPr="003E2514" w:rsidRDefault="00B3723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29</w:t>
      </w:r>
      <w:r w:rsidRPr="003E2514">
        <w:rPr>
          <w:noProof/>
        </w:rPr>
        <w:fldChar w:fldCharType="end"/>
      </w:r>
      <w:bookmarkEnd w:id="8"/>
      <w:r w:rsidR="00863F76" w:rsidRPr="003E2514">
        <w:t xml:space="preserve">.  Moreover, the court found it to be established beyond reasonable doubt that in 2004 and 2005 in the Asti Correctional Facility there had existed what it defined as a “generalised </w:t>
      </w:r>
      <w:r w:rsidR="004A76AD" w:rsidRPr="003E2514">
        <w:t>pra</w:t>
      </w:r>
      <w:r w:rsidR="00AC0DE7" w:rsidRPr="003E2514">
        <w:t>c</w:t>
      </w:r>
      <w:r w:rsidR="004A76AD" w:rsidRPr="003E2514">
        <w:t xml:space="preserve">tice </w:t>
      </w:r>
      <w:r w:rsidR="00863F76" w:rsidRPr="003E2514">
        <w:t xml:space="preserve">of ill-treatment” that had been systematically inflicted on prisoners considered to be problematic. </w:t>
      </w:r>
      <w:r w:rsidR="00C263AD" w:rsidRPr="003E2514">
        <w:t>M</w:t>
      </w:r>
      <w:r w:rsidR="00863F76" w:rsidRPr="003E2514">
        <w:t>easures</w:t>
      </w:r>
      <w:r w:rsidR="00AC0DE7" w:rsidRPr="003E2514">
        <w:t xml:space="preserve"> which</w:t>
      </w:r>
      <w:r w:rsidR="00863F76" w:rsidRPr="003E2514">
        <w:t xml:space="preserve"> </w:t>
      </w:r>
      <w:r w:rsidR="00AC0DE7" w:rsidRPr="003E2514">
        <w:t xml:space="preserve">the court defines as </w:t>
      </w:r>
      <w:r w:rsidR="00457CC6" w:rsidRPr="003E2514">
        <w:t xml:space="preserve">exceeding the bounds of permitted disciplinary or security measures </w:t>
      </w:r>
      <w:r w:rsidR="00863F76" w:rsidRPr="003E2514">
        <w:t xml:space="preserve">were routinely taken to punish and intimidate problematic detainees and to deter other disorderly behaviour. </w:t>
      </w:r>
      <w:r w:rsidR="006608BF" w:rsidRPr="003E2514">
        <w:t xml:space="preserve">As part of </w:t>
      </w:r>
      <w:r w:rsidR="00863F76" w:rsidRPr="003E2514">
        <w:t xml:space="preserve">this </w:t>
      </w:r>
      <w:r w:rsidR="006608BF" w:rsidRPr="003E2514">
        <w:t>practice</w:t>
      </w:r>
      <w:r w:rsidR="00863F76" w:rsidRPr="003E2514">
        <w:t xml:space="preserve">, a detainee </w:t>
      </w:r>
      <w:r w:rsidR="00E74C2C" w:rsidRPr="003E2514">
        <w:t xml:space="preserve">would generally </w:t>
      </w:r>
      <w:r w:rsidR="00863F76" w:rsidRPr="003E2514">
        <w:t xml:space="preserve">be taken to a cell in the solitary confinement unit where he would be subjected to repeated harassment and abuse by prison officers. The abuse would primarily take the form of physical violence, as detainees would be beaten by groups of prison </w:t>
      </w:r>
      <w:r w:rsidR="008927CE" w:rsidRPr="003E2514">
        <w:t>officers</w:t>
      </w:r>
      <w:r w:rsidR="00863F76" w:rsidRPr="003E2514">
        <w:t>, often during the night. In addition, detainees would be routinely subjected to sleep, food and water deprivation, and would also be denied access to sanitary facilities.</w:t>
      </w:r>
    </w:p>
    <w:bookmarkStart w:id="9" w:name="Reluctance"/>
    <w:p w:rsidR="00986D96" w:rsidRPr="003E2514" w:rsidRDefault="00863F76" w:rsidP="003E2514">
      <w:pPr>
        <w:pStyle w:val="ECHRPara"/>
        <w:rPr>
          <w:bCs/>
        </w:rPr>
      </w:pPr>
      <w:r w:rsidRPr="003E2514">
        <w:rPr>
          <w:bCs/>
          <w:lang w:val="it-IT"/>
        </w:rPr>
        <w:lastRenderedPageBreak/>
        <w:fldChar w:fldCharType="begin"/>
      </w:r>
      <w:r w:rsidRPr="003E2514">
        <w:rPr>
          <w:bCs/>
        </w:rPr>
        <w:instrText xml:space="preserve"> SEQ level0 \*arabic </w:instrText>
      </w:r>
      <w:r w:rsidRPr="003E2514">
        <w:rPr>
          <w:bCs/>
          <w:lang w:val="it-IT"/>
        </w:rPr>
        <w:fldChar w:fldCharType="separate"/>
      </w:r>
      <w:r w:rsidR="003E2514" w:rsidRPr="003E2514">
        <w:rPr>
          <w:bCs/>
          <w:noProof/>
        </w:rPr>
        <w:t>30</w:t>
      </w:r>
      <w:r w:rsidRPr="003E2514">
        <w:fldChar w:fldCharType="end"/>
      </w:r>
      <w:bookmarkEnd w:id="9"/>
      <w:r w:rsidRPr="003E2514">
        <w:rPr>
          <w:bCs/>
        </w:rPr>
        <w:t>. </w:t>
      </w:r>
      <w:r w:rsidR="00986D96" w:rsidRPr="003E2514">
        <w:rPr>
          <w:bCs/>
        </w:rPr>
        <w:t> </w:t>
      </w:r>
      <w:r w:rsidRPr="003E2514">
        <w:rPr>
          <w:bCs/>
        </w:rPr>
        <w:t xml:space="preserve">The court </w:t>
      </w:r>
      <w:r w:rsidR="00637790" w:rsidRPr="003E2514">
        <w:rPr>
          <w:bCs/>
        </w:rPr>
        <w:t xml:space="preserve">further </w:t>
      </w:r>
      <w:r w:rsidRPr="003E2514">
        <w:rPr>
          <w:bCs/>
        </w:rPr>
        <w:t>found ample evidence that the prison officers operated in a climate of impunity. This was due</w:t>
      </w:r>
      <w:r w:rsidR="008B24E6" w:rsidRPr="003E2514">
        <w:rPr>
          <w:bCs/>
        </w:rPr>
        <w:t>, in the court</w:t>
      </w:r>
      <w:r w:rsidR="003E2514" w:rsidRPr="003E2514">
        <w:rPr>
          <w:bCs/>
        </w:rPr>
        <w:t>’</w:t>
      </w:r>
      <w:r w:rsidR="008B24E6" w:rsidRPr="003E2514">
        <w:rPr>
          <w:bCs/>
        </w:rPr>
        <w:t>s view,</w:t>
      </w:r>
      <w:r w:rsidRPr="003E2514">
        <w:rPr>
          <w:bCs/>
        </w:rPr>
        <w:t xml:space="preserve"> to the </w:t>
      </w:r>
      <w:r w:rsidRPr="003E2514">
        <w:t xml:space="preserve">acquiescence </w:t>
      </w:r>
      <w:r w:rsidRPr="003E2514">
        <w:rPr>
          <w:bCs/>
        </w:rPr>
        <w:t>of high-level prison administrators and the complicity that existed among prison officers.</w:t>
      </w:r>
    </w:p>
    <w:bookmarkStart w:id="10" w:name="First_Instance_Facts_End"/>
    <w:bookmarkStart w:id="11" w:name="Policy_end"/>
    <w:p w:rsidR="00986D96" w:rsidRPr="003E2514" w:rsidRDefault="00863F76" w:rsidP="003E2514">
      <w:pPr>
        <w:pStyle w:val="ECHRPara"/>
      </w:pPr>
      <w:r w:rsidRPr="003E2514">
        <w:rPr>
          <w:bCs/>
        </w:rPr>
        <w:fldChar w:fldCharType="begin"/>
      </w:r>
      <w:r w:rsidRPr="003E2514">
        <w:rPr>
          <w:bCs/>
        </w:rPr>
        <w:instrText xml:space="preserve"> SEQ level0 \*arabic </w:instrText>
      </w:r>
      <w:r w:rsidRPr="003E2514">
        <w:rPr>
          <w:bCs/>
        </w:rPr>
        <w:fldChar w:fldCharType="separate"/>
      </w:r>
      <w:r w:rsidR="003E2514" w:rsidRPr="003E2514">
        <w:rPr>
          <w:bCs/>
          <w:noProof/>
        </w:rPr>
        <w:t>31</w:t>
      </w:r>
      <w:r w:rsidRPr="003E2514">
        <w:fldChar w:fldCharType="end"/>
      </w:r>
      <w:bookmarkEnd w:id="10"/>
      <w:bookmarkEnd w:id="11"/>
      <w:r w:rsidRPr="003E2514">
        <w:rPr>
          <w:bCs/>
        </w:rPr>
        <w:t>.</w:t>
      </w:r>
      <w:r w:rsidR="00986D96" w:rsidRPr="003E2514">
        <w:t>  </w:t>
      </w:r>
      <w:r w:rsidR="005252DB" w:rsidRPr="003E2514">
        <w:t>It emerges that the court ordered an inspection of the correctional facility, including the solitary confinement wing, during the course of the trial. The</w:t>
      </w:r>
      <w:r w:rsidRPr="003E2514">
        <w:t xml:space="preserve"> court found that several cells in the solitary confinement wing of the Asti Correctional Facility were unfit for holding detainees. Some did not have bed linen, mattresses, sanitary facilities or heating. Although the windows in some cells had no panes </w:t>
      </w:r>
      <w:r w:rsidR="00AC0DE7" w:rsidRPr="003E2514">
        <w:t>and</w:t>
      </w:r>
      <w:r w:rsidRPr="003E2514">
        <w:t xml:space="preserve"> others had windows covered by metal plates with small perforations, the cells were nonetheless used during the winter months. Some cells were equipped with a bed and a squat toilet but no other furniture or sanitary facilities.</w:t>
      </w:r>
    </w:p>
    <w:bookmarkStart w:id="12" w:name="B_h"/>
    <w:p w:rsidR="00863F76" w:rsidRPr="003E2514" w:rsidRDefault="00860721"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32</w:t>
      </w:r>
      <w:r w:rsidRPr="003E2514">
        <w:rPr>
          <w:noProof/>
        </w:rPr>
        <w:fldChar w:fldCharType="end"/>
      </w:r>
      <w:bookmarkEnd w:id="12"/>
      <w:r w:rsidR="00863F76" w:rsidRPr="003E2514">
        <w:t xml:space="preserve">.  Following the establishment of the facts, the court went on to </w:t>
      </w:r>
      <w:r w:rsidR="00FE4A12" w:rsidRPr="003E2514">
        <w:t>assess responsibility for the established conduct</w:t>
      </w:r>
      <w:r w:rsidR="00863F76" w:rsidRPr="003E2514">
        <w:t xml:space="preserve">. In this regard, G.S. was acquitted as to his involvement in the ill-treatment, and A.D. and D.B. were acquitted of the charge of ill-treatment under Article 572 of the Criminal Code. The court nonetheless held that the conduct of </w:t>
      </w:r>
      <w:r w:rsidR="006F1F57" w:rsidRPr="003E2514">
        <w:t xml:space="preserve">A.D. and D.B. </w:t>
      </w:r>
      <w:r w:rsidR="00863F76" w:rsidRPr="003E2514">
        <w:t xml:space="preserve">amounted to infliction of bodily harm contrary to Article 582 of the Criminal Code. However, it ordered that the proceedings against </w:t>
      </w:r>
      <w:r w:rsidR="006F1F57" w:rsidRPr="003E2514">
        <w:t>them</w:t>
      </w:r>
      <w:r w:rsidR="00863F76" w:rsidRPr="003E2514">
        <w:t xml:space="preserve"> be discontinued due to the expiry of the applicable time-limit </w:t>
      </w:r>
      <w:r w:rsidR="00EB00EC" w:rsidRPr="003E2514">
        <w:t xml:space="preserve">as laid down </w:t>
      </w:r>
      <w:r w:rsidR="00863F76" w:rsidRPr="003E2514">
        <w:t>in the statute of limitations.</w:t>
      </w:r>
    </w:p>
    <w:bookmarkStart w:id="13" w:name="Asti_legal_torture"/>
    <w:p w:rsidR="00986D96" w:rsidRPr="003E2514" w:rsidRDefault="00860721"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33</w:t>
      </w:r>
      <w:r w:rsidRPr="003E2514">
        <w:rPr>
          <w:noProof/>
        </w:rPr>
        <w:fldChar w:fldCharType="end"/>
      </w:r>
      <w:bookmarkEnd w:id="13"/>
      <w:r w:rsidR="00863F76" w:rsidRPr="003E2514">
        <w:t>.</w:t>
      </w:r>
      <w:r w:rsidR="00986D96" w:rsidRPr="003E2514">
        <w:t> </w:t>
      </w:r>
      <w:r w:rsidR="00863F76" w:rsidRPr="003E2514">
        <w:t> With respect to C.B. and M.S., the court held that there existed sufficient evidence to conclude that they had been responsible for most, if not all,</w:t>
      </w:r>
      <w:r w:rsidR="00C91696" w:rsidRPr="003E2514">
        <w:t xml:space="preserve"> of the acts of physical, </w:t>
      </w:r>
      <w:r w:rsidR="00863F76" w:rsidRPr="003E2514">
        <w:t>psychological</w:t>
      </w:r>
      <w:r w:rsidR="00C91696" w:rsidRPr="003E2514">
        <w:t xml:space="preserve">, and </w:t>
      </w:r>
      <w:r w:rsidR="004E4E15" w:rsidRPr="003E2514">
        <w:t>“</w:t>
      </w:r>
      <w:r w:rsidR="00C91696" w:rsidRPr="003E2514">
        <w:t>material</w:t>
      </w:r>
      <w:r w:rsidR="004E4E15" w:rsidRPr="003E2514">
        <w:t>”</w:t>
      </w:r>
      <w:r w:rsidR="00863F76" w:rsidRPr="003E2514">
        <w:t xml:space="preserve"> abuse </w:t>
      </w:r>
      <w:r w:rsidR="00393912" w:rsidRPr="003E2514">
        <w:t>at issue</w:t>
      </w:r>
      <w:r w:rsidR="00863F76" w:rsidRPr="003E2514">
        <w:t xml:space="preserve">. The court then considered that the acts at issue could be </w:t>
      </w:r>
      <w:r w:rsidR="00AC0DE7" w:rsidRPr="003E2514">
        <w:t>c</w:t>
      </w:r>
      <w:r w:rsidR="00863F76" w:rsidRPr="003E2514">
        <w:t>l</w:t>
      </w:r>
      <w:r w:rsidR="00AC0DE7" w:rsidRPr="003E2514">
        <w:t>ass</w:t>
      </w:r>
      <w:r w:rsidR="00863F76" w:rsidRPr="003E2514">
        <w:t>ified as torture pursuant to the definition provided by the United Nations (UN) Convention against Torture and Other Cruel, Inhuman or Degrading Treatment or Punishment</w:t>
      </w:r>
      <w:r w:rsidR="00675E36" w:rsidRPr="003E2514">
        <w:t xml:space="preserve">. </w:t>
      </w:r>
      <w:r w:rsidR="00863F76" w:rsidRPr="003E2514">
        <w:t xml:space="preserve">It went on to observe that Italy had failed to </w:t>
      </w:r>
      <w:r w:rsidR="00863F76" w:rsidRPr="003E2514">
        <w:rPr>
          <w:lang w:val="en"/>
        </w:rPr>
        <w:t xml:space="preserve">incorporate the </w:t>
      </w:r>
      <w:r w:rsidR="000842ED" w:rsidRPr="003E2514">
        <w:rPr>
          <w:lang w:val="en"/>
        </w:rPr>
        <w:t>offence</w:t>
      </w:r>
      <w:r w:rsidR="00863F76" w:rsidRPr="003E2514">
        <w:rPr>
          <w:lang w:val="en"/>
        </w:rPr>
        <w:t xml:space="preserve"> of torture into national legislation, in breach of its</w:t>
      </w:r>
      <w:r w:rsidR="00973EDD" w:rsidRPr="003E2514">
        <w:rPr>
          <w:lang w:val="en"/>
        </w:rPr>
        <w:t xml:space="preserve"> international</w:t>
      </w:r>
      <w:r w:rsidR="00863F76" w:rsidRPr="003E2514">
        <w:rPr>
          <w:lang w:val="en"/>
        </w:rPr>
        <w:t xml:space="preserve"> obligations</w:t>
      </w:r>
      <w:r w:rsidR="00863F76" w:rsidRPr="003E2514">
        <w:t xml:space="preserve">. It was therefore obliged to conclude that, under Italian law, there existed no legal provision that would allow </w:t>
      </w:r>
      <w:r w:rsidR="008964E5" w:rsidRPr="003E2514">
        <w:t xml:space="preserve">it to classify the impugned </w:t>
      </w:r>
      <w:r w:rsidR="00587DCF" w:rsidRPr="003E2514">
        <w:t>conduct</w:t>
      </w:r>
      <w:r w:rsidR="00863F76" w:rsidRPr="003E2514">
        <w:t xml:space="preserve"> as acts of</w:t>
      </w:r>
      <w:r w:rsidR="009E3A5F" w:rsidRPr="003E2514">
        <w:t xml:space="preserve"> torture.</w:t>
      </w:r>
    </w:p>
    <w:bookmarkStart w:id="14" w:name="First_Instance_Purpose"/>
    <w:p w:rsidR="00986D96" w:rsidRPr="003E2514" w:rsidRDefault="00EB02B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34</w:t>
      </w:r>
      <w:r w:rsidRPr="003E2514">
        <w:rPr>
          <w:noProof/>
        </w:rPr>
        <w:fldChar w:fldCharType="end"/>
      </w:r>
      <w:bookmarkEnd w:id="14"/>
      <w:r w:rsidR="00863F76" w:rsidRPr="003E2514">
        <w:t xml:space="preserve">.  Having </w:t>
      </w:r>
      <w:r w:rsidR="00EB00EC" w:rsidRPr="003E2514">
        <w:t xml:space="preserve">taken note of </w:t>
      </w:r>
      <w:r w:rsidR="00863F76" w:rsidRPr="003E2514">
        <w:t xml:space="preserve">the above-mentioned </w:t>
      </w:r>
      <w:r w:rsidR="00881BD6" w:rsidRPr="003E2514">
        <w:t>considerations</w:t>
      </w:r>
      <w:r w:rsidR="00863F76" w:rsidRPr="003E2514">
        <w:t xml:space="preserve">, the court proceeded to assess which </w:t>
      </w:r>
      <w:r w:rsidR="00470CBB" w:rsidRPr="003E2514">
        <w:t xml:space="preserve">existing </w:t>
      </w:r>
      <w:r w:rsidR="00863F76" w:rsidRPr="003E2514">
        <w:t xml:space="preserve">offence was </w:t>
      </w:r>
      <w:r w:rsidR="00AC0DE7" w:rsidRPr="003E2514">
        <w:t xml:space="preserve">more </w:t>
      </w:r>
      <w:r w:rsidR="00863F76" w:rsidRPr="003E2514">
        <w:t>suit</w:t>
      </w:r>
      <w:r w:rsidR="00AC0DE7" w:rsidRPr="003E2514">
        <w:t>abl</w:t>
      </w:r>
      <w:r w:rsidR="00863F76" w:rsidRPr="003E2514">
        <w:t xml:space="preserve">e </w:t>
      </w:r>
      <w:r w:rsidR="00AC0DE7" w:rsidRPr="003E2514">
        <w:t xml:space="preserve">in respect of the </w:t>
      </w:r>
      <w:r w:rsidR="00863F76" w:rsidRPr="003E2514">
        <w:t xml:space="preserve">legal </w:t>
      </w:r>
      <w:r w:rsidR="00AC0DE7" w:rsidRPr="003E2514">
        <w:t>c</w:t>
      </w:r>
      <w:r w:rsidR="00863F76" w:rsidRPr="003E2514">
        <w:t>l</w:t>
      </w:r>
      <w:r w:rsidR="00AC0DE7" w:rsidRPr="003E2514">
        <w:t>ass</w:t>
      </w:r>
      <w:r w:rsidR="00863F76" w:rsidRPr="003E2514">
        <w:t>if</w:t>
      </w:r>
      <w:r w:rsidR="00AC0DE7" w:rsidRPr="003E2514">
        <w:t>ication of</w:t>
      </w:r>
      <w:r w:rsidR="00863F76" w:rsidRPr="003E2514">
        <w:t xml:space="preserve"> C.B. and M.S.</w:t>
      </w:r>
      <w:r w:rsidR="003E2514" w:rsidRPr="003E2514">
        <w:t>’</w:t>
      </w:r>
      <w:r w:rsidR="00863F76" w:rsidRPr="003E2514">
        <w:t>s conduct.</w:t>
      </w:r>
      <w:r w:rsidR="005C270D" w:rsidRPr="003E2514">
        <w:t xml:space="preserve"> </w:t>
      </w:r>
      <w:r w:rsidR="00EE60FC" w:rsidRPr="003E2514">
        <w:t>When conducting its assessment</w:t>
      </w:r>
      <w:r w:rsidR="00AC0DE7" w:rsidRPr="003E2514">
        <w:t>,</w:t>
      </w:r>
      <w:r w:rsidR="00EE60FC" w:rsidRPr="003E2514">
        <w:t xml:space="preserve"> </w:t>
      </w:r>
      <w:r w:rsidR="00E635F3" w:rsidRPr="003E2514">
        <w:t xml:space="preserve">the </w:t>
      </w:r>
      <w:r w:rsidR="00EE60FC" w:rsidRPr="003E2514">
        <w:t xml:space="preserve">court relied on the conclusion that </w:t>
      </w:r>
      <w:r w:rsidR="004070A0" w:rsidRPr="003E2514">
        <w:t xml:space="preserve">the primary purpose of </w:t>
      </w:r>
      <w:r w:rsidR="00164C18" w:rsidRPr="003E2514">
        <w:t xml:space="preserve">the impugned treatment </w:t>
      </w:r>
      <w:r w:rsidR="00917C75" w:rsidRPr="003E2514">
        <w:t>was to punish the applicants</w:t>
      </w:r>
      <w:r w:rsidR="0017389F" w:rsidRPr="003E2514">
        <w:t xml:space="preserve">, </w:t>
      </w:r>
      <w:r w:rsidR="00AC0DE7" w:rsidRPr="003E2514">
        <w:t xml:space="preserve">to </w:t>
      </w:r>
      <w:r w:rsidR="0017389F" w:rsidRPr="003E2514">
        <w:t>“maintain order”</w:t>
      </w:r>
      <w:r w:rsidR="005C270D" w:rsidRPr="003E2514">
        <w:t xml:space="preserve"> in the correctional facility</w:t>
      </w:r>
      <w:r w:rsidR="00AC0DE7" w:rsidRPr="003E2514">
        <w:t>,</w:t>
      </w:r>
      <w:r w:rsidR="0017389F" w:rsidRPr="003E2514">
        <w:t xml:space="preserve"> </w:t>
      </w:r>
      <w:r w:rsidR="00917C75" w:rsidRPr="003E2514">
        <w:t xml:space="preserve">and </w:t>
      </w:r>
      <w:r w:rsidR="00AC0DE7" w:rsidRPr="003E2514">
        <w:t xml:space="preserve">to </w:t>
      </w:r>
      <w:r w:rsidR="00917C75" w:rsidRPr="003E2514">
        <w:t xml:space="preserve">convey a clear message </w:t>
      </w:r>
      <w:r w:rsidR="00DC7091" w:rsidRPr="003E2514">
        <w:t>to the other detainees.</w:t>
      </w:r>
    </w:p>
    <w:bookmarkStart w:id="15" w:name="Asti_judgment_end"/>
    <w:p w:rsidR="00986D96" w:rsidRPr="003E2514" w:rsidRDefault="00860721"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35</w:t>
      </w:r>
      <w:r w:rsidRPr="003E2514">
        <w:rPr>
          <w:noProof/>
        </w:rPr>
        <w:fldChar w:fldCharType="end"/>
      </w:r>
      <w:bookmarkEnd w:id="15"/>
      <w:r w:rsidR="00EE60FC" w:rsidRPr="003E2514">
        <w:t>.</w:t>
      </w:r>
      <w:r w:rsidR="00986D96" w:rsidRPr="003E2514">
        <w:t> </w:t>
      </w:r>
      <w:r w:rsidR="00EE60FC" w:rsidRPr="003E2514">
        <w:t> </w:t>
      </w:r>
      <w:r w:rsidR="00917C75" w:rsidRPr="003E2514">
        <w:t xml:space="preserve">The court </w:t>
      </w:r>
      <w:r w:rsidR="00DB48B2" w:rsidRPr="003E2514">
        <w:t>considered</w:t>
      </w:r>
      <w:r w:rsidR="00863F76" w:rsidRPr="003E2514">
        <w:t xml:space="preserve"> that the conduct of the two prison officers</w:t>
      </w:r>
      <w:r w:rsidR="00840371" w:rsidRPr="003E2514">
        <w:t xml:space="preserve"> thus</w:t>
      </w:r>
      <w:r w:rsidR="00863F76" w:rsidRPr="003E2514">
        <w:t xml:space="preserve"> fell most appropriately within the scope of Article 608 of the Criminal Code, which deals with abuse of authority against arrested or detained persons. However, the statutory limitation period for the offence in question </w:t>
      </w:r>
      <w:r w:rsidR="00863F76" w:rsidRPr="003E2514">
        <w:lastRenderedPageBreak/>
        <w:t xml:space="preserve">had elapsed, as the court had found no </w:t>
      </w:r>
      <w:r w:rsidR="0089302A" w:rsidRPr="003E2514">
        <w:t xml:space="preserve">procedural </w:t>
      </w:r>
      <w:r w:rsidR="00863F76" w:rsidRPr="003E2514">
        <w:t>act</w:t>
      </w:r>
      <w:r w:rsidR="0089302A" w:rsidRPr="003E2514">
        <w:t>ion</w:t>
      </w:r>
      <w:r w:rsidR="00863F76" w:rsidRPr="003E2514">
        <w:t xml:space="preserve"> </w:t>
      </w:r>
      <w:r w:rsidR="0089302A" w:rsidRPr="003E2514">
        <w:t>which would have the effect</w:t>
      </w:r>
      <w:r w:rsidR="00863F76" w:rsidRPr="003E2514">
        <w:t xml:space="preserve"> of interrupting </w:t>
      </w:r>
      <w:r w:rsidR="007E6392" w:rsidRPr="003E2514">
        <w:t>it</w:t>
      </w:r>
      <w:r w:rsidR="00863F76" w:rsidRPr="003E2514">
        <w:t>.</w:t>
      </w:r>
    </w:p>
    <w:p w:rsidR="00863F76" w:rsidRPr="003E2514" w:rsidRDefault="00D95CA1" w:rsidP="003E2514">
      <w:pPr>
        <w:pStyle w:val="ECHRPara"/>
      </w:pPr>
      <w:r w:rsidRPr="003E2514">
        <w:t xml:space="preserve">The court </w:t>
      </w:r>
      <w:r w:rsidR="00863F76" w:rsidRPr="003E2514">
        <w:t>stated that C.B. and M.S. were</w:t>
      </w:r>
      <w:r w:rsidRPr="003E2514">
        <w:t xml:space="preserve"> also</w:t>
      </w:r>
      <w:r w:rsidR="00863F76" w:rsidRPr="003E2514">
        <w:t xml:space="preserve"> responsible for the infliction of bodily harm, but that, as the statute of limitations was applicable to that offence as well, such a finding did not alter the substance of the decision.</w:t>
      </w:r>
      <w:r w:rsidRPr="003E2514">
        <w:t xml:space="preserve"> </w:t>
      </w:r>
      <w:r w:rsidR="00C45A0B" w:rsidRPr="003E2514">
        <w:t>The court therefore</w:t>
      </w:r>
      <w:r w:rsidR="00863F76" w:rsidRPr="003E2514">
        <w:t xml:space="preserve"> ordered that the proceedings</w:t>
      </w:r>
      <w:r w:rsidR="00C45A0B" w:rsidRPr="003E2514">
        <w:t xml:space="preserve"> against C.B. and M.S</w:t>
      </w:r>
      <w:r w:rsidR="00863F76" w:rsidRPr="003E2514">
        <w:t xml:space="preserve"> be discontinued because the applicable time-limit </w:t>
      </w:r>
      <w:r w:rsidR="00EB00EC" w:rsidRPr="003E2514">
        <w:t xml:space="preserve">as laid down </w:t>
      </w:r>
      <w:r w:rsidR="00863F76" w:rsidRPr="003E2514">
        <w:t>in the statute of limitations had expired.</w:t>
      </w:r>
    </w:p>
    <w:p w:rsidR="00863F76" w:rsidRPr="003E2514" w:rsidRDefault="0084191A" w:rsidP="003E2514">
      <w:pPr>
        <w:pStyle w:val="ECHRHeading3"/>
        <w:rPr>
          <w:lang w:bidi="en-US"/>
        </w:rPr>
      </w:pPr>
      <w:r w:rsidRPr="003E2514">
        <w:rPr>
          <w:lang w:bidi="en-US"/>
        </w:rPr>
        <w:t>2.  </w:t>
      </w:r>
      <w:r w:rsidR="00863F76" w:rsidRPr="003E2514">
        <w:rPr>
          <w:lang w:bidi="en-US"/>
        </w:rPr>
        <w:t>Proceedings before the Court of Cassation</w:t>
      </w:r>
    </w:p>
    <w:bookmarkStart w:id="16" w:name="Prosecutor_appeal"/>
    <w:p w:rsidR="00986D96" w:rsidRPr="003E2514" w:rsidRDefault="00C513C1"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36</w:t>
      </w:r>
      <w:r w:rsidRPr="003E2514">
        <w:rPr>
          <w:noProof/>
        </w:rPr>
        <w:fldChar w:fldCharType="end"/>
      </w:r>
      <w:bookmarkEnd w:id="16"/>
      <w:r w:rsidR="00863F76" w:rsidRPr="003E2514">
        <w:t xml:space="preserve">.  On 22 February 2012 the </w:t>
      </w:r>
      <w:r w:rsidR="00AC0DE7" w:rsidRPr="003E2514">
        <w:t>p</w:t>
      </w:r>
      <w:r w:rsidR="00863F76" w:rsidRPr="003E2514">
        <w:t xml:space="preserve">ublic </w:t>
      </w:r>
      <w:r w:rsidR="00AC0DE7" w:rsidRPr="003E2514">
        <w:t>p</w:t>
      </w:r>
      <w:r w:rsidR="00863F76" w:rsidRPr="003E2514">
        <w:t xml:space="preserve">rosecutor lodged an </w:t>
      </w:r>
      <w:r w:rsidR="00413CF3" w:rsidRPr="003E2514">
        <w:t>appeal</w:t>
      </w:r>
      <w:r w:rsidR="00863F76" w:rsidRPr="003E2514">
        <w:t xml:space="preserve"> with the Court of Cassation, arguing that the Asti District Court had erred in the legal classification of the offence with respect to C.B. and M.S. The</w:t>
      </w:r>
      <w:r w:rsidR="009A24B6" w:rsidRPr="003E2514">
        <w:t xml:space="preserve"> </w:t>
      </w:r>
      <w:r w:rsidR="00AC0DE7" w:rsidRPr="003E2514">
        <w:t>p</w:t>
      </w:r>
      <w:r w:rsidR="00863F76" w:rsidRPr="003E2514">
        <w:t>rosecutor contended that the</w:t>
      </w:r>
      <w:r w:rsidR="00AC0DE7" w:rsidRPr="003E2514">
        <w:t xml:space="preserve"> most appropriate</w:t>
      </w:r>
      <w:r w:rsidR="00863F76" w:rsidRPr="003E2514">
        <w:t xml:space="preserve"> offence </w:t>
      </w:r>
      <w:r w:rsidR="00AC0DE7" w:rsidRPr="003E2514">
        <w:t>for the purposes of cl</w:t>
      </w:r>
      <w:r w:rsidR="00863F76" w:rsidRPr="003E2514">
        <w:t>a</w:t>
      </w:r>
      <w:r w:rsidR="00AC0DE7" w:rsidRPr="003E2514">
        <w:t>ss</w:t>
      </w:r>
      <w:r w:rsidR="00863F76" w:rsidRPr="003E2514">
        <w:t>if</w:t>
      </w:r>
      <w:r w:rsidR="00AC0DE7" w:rsidRPr="003E2514">
        <w:t>ication of</w:t>
      </w:r>
      <w:r w:rsidR="00863F76" w:rsidRPr="003E2514">
        <w:t xml:space="preserve"> the conduct in question </w:t>
      </w:r>
      <w:r w:rsidR="00AC0DE7" w:rsidRPr="003E2514">
        <w:t xml:space="preserve">would </w:t>
      </w:r>
      <w:r w:rsidR="00863F76" w:rsidRPr="003E2514">
        <w:t>have been aggravated ill</w:t>
      </w:r>
      <w:r w:rsidR="00AC0DE7" w:rsidRPr="003E2514">
        <w:noBreakHyphen/>
      </w:r>
      <w:r w:rsidR="00863F76" w:rsidRPr="003E2514">
        <w:t>treatment under Article 572 of the Italian Criminal Code</w:t>
      </w:r>
      <w:r w:rsidR="00B01501" w:rsidRPr="003E2514">
        <w:t xml:space="preserve"> </w:t>
      </w:r>
      <w:r w:rsidR="00B01501" w:rsidRPr="003E2514">
        <w:rPr>
          <w:rFonts w:cstheme="minorHAnsi"/>
        </w:rPr>
        <w:t>‒</w:t>
      </w:r>
      <w:r w:rsidR="00863F76" w:rsidRPr="003E2514">
        <w:t xml:space="preserve"> as initially identified in the bill of indictment</w:t>
      </w:r>
      <w:r w:rsidR="00B01501" w:rsidRPr="003E2514">
        <w:t xml:space="preserve"> </w:t>
      </w:r>
      <w:r w:rsidR="00B01501" w:rsidRPr="003E2514">
        <w:rPr>
          <w:rFonts w:cstheme="minorHAnsi"/>
        </w:rPr>
        <w:t>‒</w:t>
      </w:r>
      <w:r w:rsidR="00863F76" w:rsidRPr="003E2514">
        <w:t xml:space="preserve"> in conjunction with Article 608 of the Criminal Code.</w:t>
      </w:r>
    </w:p>
    <w:p w:rsidR="00B065F6"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37</w:t>
      </w:r>
      <w:r w:rsidRPr="003E2514">
        <w:rPr>
          <w:noProof/>
        </w:rPr>
        <w:fldChar w:fldCharType="end"/>
      </w:r>
      <w:r w:rsidR="00863F76" w:rsidRPr="003E2514">
        <w:t xml:space="preserve">.  By a judgment issued on 21 May 2012, and filed with the court </w:t>
      </w:r>
      <w:r w:rsidR="009E0017" w:rsidRPr="003E2514">
        <w:t>R</w:t>
      </w:r>
      <w:r w:rsidR="00863F76" w:rsidRPr="003E2514">
        <w:t xml:space="preserve">egistry on 27 July 2012, the Court of Cassation declared the </w:t>
      </w:r>
      <w:r w:rsidR="00D6528C" w:rsidRPr="003E2514">
        <w:t>p</w:t>
      </w:r>
      <w:r w:rsidR="00863F76" w:rsidRPr="003E2514">
        <w:t xml:space="preserve">ublic </w:t>
      </w:r>
      <w:r w:rsidR="00D6528C" w:rsidRPr="003E2514">
        <w:t>p</w:t>
      </w:r>
      <w:r w:rsidR="00863F76" w:rsidRPr="003E2514">
        <w:t>rosecutor</w:t>
      </w:r>
      <w:r w:rsidR="003E2514" w:rsidRPr="003E2514">
        <w:t>’</w:t>
      </w:r>
      <w:r w:rsidR="00863F76" w:rsidRPr="003E2514">
        <w:t>s application inadmissible. The court expressed its agreement with the prosecutor</w:t>
      </w:r>
      <w:r w:rsidR="003E2514" w:rsidRPr="003E2514">
        <w:t>’</w:t>
      </w:r>
      <w:r w:rsidR="00863F76" w:rsidRPr="003E2514">
        <w:t xml:space="preserve">s </w:t>
      </w:r>
      <w:r w:rsidR="00B01501" w:rsidRPr="003E2514">
        <w:t xml:space="preserve">contention </w:t>
      </w:r>
      <w:r w:rsidR="00863F76" w:rsidRPr="003E2514">
        <w:t xml:space="preserve">as a matter of principle but, as the statute of limitations </w:t>
      </w:r>
      <w:r w:rsidR="006320EB" w:rsidRPr="003E2514">
        <w:t>had been</w:t>
      </w:r>
      <w:r w:rsidR="00D6528C" w:rsidRPr="003E2514">
        <w:t xml:space="preserve"> likewise</w:t>
      </w:r>
      <w:r w:rsidR="00863F76" w:rsidRPr="003E2514">
        <w:t xml:space="preserve"> applicable to the offence of aggravated ill</w:t>
      </w:r>
      <w:r w:rsidR="00D6528C" w:rsidRPr="003E2514">
        <w:noBreakHyphen/>
      </w:r>
      <w:r w:rsidR="00863F76" w:rsidRPr="003E2514">
        <w:t xml:space="preserve">treatment, a decision in favour of the </w:t>
      </w:r>
      <w:r w:rsidR="000E225E" w:rsidRPr="003E2514">
        <w:t>prosecution</w:t>
      </w:r>
      <w:r w:rsidR="00863F76" w:rsidRPr="003E2514">
        <w:t xml:space="preserve"> would have been devoid of any practical effect.</w:t>
      </w:r>
    </w:p>
    <w:p w:rsidR="007578FE" w:rsidRPr="003E2514" w:rsidRDefault="0084191A" w:rsidP="003E2514">
      <w:pPr>
        <w:pStyle w:val="ECHRHeading3"/>
      </w:pPr>
      <w:r w:rsidRPr="003E2514">
        <w:t>3.  </w:t>
      </w:r>
      <w:r w:rsidR="007578FE" w:rsidRPr="003E2514">
        <w:t>Subsequent proceedings</w:t>
      </w:r>
    </w:p>
    <w:p w:rsidR="00986D96"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38</w:t>
      </w:r>
      <w:r w:rsidRPr="003E2514">
        <w:rPr>
          <w:noProof/>
        </w:rPr>
        <w:fldChar w:fldCharType="end"/>
      </w:r>
      <w:r w:rsidR="00ED3081" w:rsidRPr="003E2514">
        <w:t>.  </w:t>
      </w:r>
      <w:r w:rsidR="00787707" w:rsidRPr="003E2514">
        <w:t xml:space="preserve">On 26 July 2012 </w:t>
      </w:r>
      <w:r w:rsidR="00C42084" w:rsidRPr="003E2514">
        <w:t xml:space="preserve">C.B. lodged an </w:t>
      </w:r>
      <w:r w:rsidR="00402E1D" w:rsidRPr="003E2514">
        <w:t>objection to execution (</w:t>
      </w:r>
      <w:proofErr w:type="spellStart"/>
      <w:r w:rsidR="00402E1D" w:rsidRPr="003E2514">
        <w:rPr>
          <w:i/>
        </w:rPr>
        <w:t>incidente</w:t>
      </w:r>
      <w:proofErr w:type="spellEnd"/>
      <w:r w:rsidR="00402E1D" w:rsidRPr="003E2514">
        <w:rPr>
          <w:i/>
        </w:rPr>
        <w:t xml:space="preserve"> </w:t>
      </w:r>
      <w:proofErr w:type="spellStart"/>
      <w:r w:rsidR="00402E1D" w:rsidRPr="003E2514">
        <w:rPr>
          <w:i/>
        </w:rPr>
        <w:t>d</w:t>
      </w:r>
      <w:r w:rsidR="003E2514" w:rsidRPr="003E2514">
        <w:rPr>
          <w:i/>
        </w:rPr>
        <w:t>’</w:t>
      </w:r>
      <w:r w:rsidR="00402E1D" w:rsidRPr="003E2514">
        <w:rPr>
          <w:i/>
        </w:rPr>
        <w:t>esecuzione</w:t>
      </w:r>
      <w:proofErr w:type="spellEnd"/>
      <w:r w:rsidR="00402E1D" w:rsidRPr="003E2514">
        <w:t xml:space="preserve">) </w:t>
      </w:r>
      <w:r w:rsidR="00D6528C" w:rsidRPr="003E2514">
        <w:t xml:space="preserve">with </w:t>
      </w:r>
      <w:r w:rsidR="000B34B3" w:rsidRPr="003E2514">
        <w:t xml:space="preserve">the </w:t>
      </w:r>
      <w:r w:rsidR="00CD26BE" w:rsidRPr="003E2514">
        <w:t>Asti Distric</w:t>
      </w:r>
      <w:r w:rsidR="009C7029" w:rsidRPr="003E2514">
        <w:t>t</w:t>
      </w:r>
      <w:r w:rsidR="00CD26BE" w:rsidRPr="003E2514">
        <w:t xml:space="preserve"> Court</w:t>
      </w:r>
      <w:r w:rsidR="00D6528C" w:rsidRPr="003E2514">
        <w:t>,</w:t>
      </w:r>
      <w:r w:rsidR="000B34B3" w:rsidRPr="003E2514">
        <w:t xml:space="preserve"> arguing that its</w:t>
      </w:r>
      <w:r w:rsidR="00CD26BE" w:rsidRPr="003E2514">
        <w:t xml:space="preserve"> </w:t>
      </w:r>
      <w:r w:rsidR="00192B26" w:rsidRPr="003E2514">
        <w:t>decision</w:t>
      </w:r>
      <w:r w:rsidR="00CD26BE" w:rsidRPr="003E2514">
        <w:t xml:space="preserve"> </w:t>
      </w:r>
      <w:r w:rsidR="000D013F" w:rsidRPr="003E2514">
        <w:t xml:space="preserve">of </w:t>
      </w:r>
      <w:r w:rsidR="00C80098" w:rsidRPr="003E2514">
        <w:t>30</w:t>
      </w:r>
      <w:r w:rsidR="00D6528C" w:rsidRPr="003E2514">
        <w:t> </w:t>
      </w:r>
      <w:r w:rsidR="00E7712D" w:rsidRPr="003E2514">
        <w:t>January</w:t>
      </w:r>
      <w:r w:rsidR="00C80098" w:rsidRPr="003E2514">
        <w:t xml:space="preserve"> 2012 </w:t>
      </w:r>
      <w:r w:rsidR="000D013F" w:rsidRPr="003E2514">
        <w:t>(see</w:t>
      </w:r>
      <w:r w:rsidR="0055391B" w:rsidRPr="003E2514">
        <w:t xml:space="preserve"> paragraph</w:t>
      </w:r>
      <w:r w:rsidR="000D013F" w:rsidRPr="003E2514">
        <w:t xml:space="preserve"> </w:t>
      </w:r>
      <w:r w:rsidR="0055391B" w:rsidRPr="003E2514">
        <w:fldChar w:fldCharType="begin"/>
      </w:r>
      <w:r w:rsidR="0055391B" w:rsidRPr="003E2514">
        <w:instrText xml:space="preserve"> REF Asti_judgment \h </w:instrText>
      </w:r>
      <w:r w:rsidR="000509A6" w:rsidRPr="003E2514">
        <w:instrText xml:space="preserve"> \* MERGEFORMAT </w:instrText>
      </w:r>
      <w:r w:rsidR="0055391B" w:rsidRPr="003E2514">
        <w:fldChar w:fldCharType="separate"/>
      </w:r>
      <w:r w:rsidR="003E2514" w:rsidRPr="003E2514">
        <w:rPr>
          <w:noProof/>
        </w:rPr>
        <w:t>24</w:t>
      </w:r>
      <w:r w:rsidR="0055391B" w:rsidRPr="003E2514">
        <w:fldChar w:fldCharType="end"/>
      </w:r>
      <w:r w:rsidR="0055391B" w:rsidRPr="003E2514">
        <w:t xml:space="preserve"> </w:t>
      </w:r>
      <w:r w:rsidR="000D013F" w:rsidRPr="003E2514">
        <w:t xml:space="preserve">above) </w:t>
      </w:r>
      <w:r w:rsidR="00CD26BE" w:rsidRPr="003E2514">
        <w:t xml:space="preserve">could not be considered as </w:t>
      </w:r>
      <w:r w:rsidR="006C2995" w:rsidRPr="003E2514">
        <w:t>final</w:t>
      </w:r>
      <w:r w:rsidR="00CD26BE" w:rsidRPr="003E2514">
        <w:t xml:space="preserve"> and binding insofar as he was concerned, as </w:t>
      </w:r>
      <w:r w:rsidR="00CA6F48" w:rsidRPr="003E2514">
        <w:t xml:space="preserve">the </w:t>
      </w:r>
      <w:r w:rsidR="00192B26" w:rsidRPr="003E2514">
        <w:t>decision</w:t>
      </w:r>
      <w:r w:rsidR="00AC5DBA" w:rsidRPr="003E2514">
        <w:t xml:space="preserve"> had not been properly</w:t>
      </w:r>
      <w:r w:rsidR="00CA6F48" w:rsidRPr="003E2514">
        <w:t xml:space="preserve"> served on him.</w:t>
      </w:r>
    </w:p>
    <w:p w:rsidR="00986D96"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39</w:t>
      </w:r>
      <w:r w:rsidRPr="003E2514">
        <w:rPr>
          <w:noProof/>
        </w:rPr>
        <w:fldChar w:fldCharType="end"/>
      </w:r>
      <w:r w:rsidR="007578FE" w:rsidRPr="003E2514">
        <w:t>.  </w:t>
      </w:r>
      <w:proofErr w:type="gramStart"/>
      <w:r w:rsidR="00D6528C" w:rsidRPr="003E2514">
        <w:t xml:space="preserve">In </w:t>
      </w:r>
      <w:r w:rsidR="008B02D7" w:rsidRPr="003E2514">
        <w:t>a decision issued on</w:t>
      </w:r>
      <w:r w:rsidR="00634E1B" w:rsidRPr="003E2514">
        <w:t xml:space="preserve"> 31 October </w:t>
      </w:r>
      <w:r w:rsidR="00206424" w:rsidRPr="003E2514">
        <w:t xml:space="preserve">the Asti District Court </w:t>
      </w:r>
      <w:r w:rsidR="003C68AE" w:rsidRPr="003E2514">
        <w:t>dismissed C.B.</w:t>
      </w:r>
      <w:r w:rsidR="003E2514" w:rsidRPr="003E2514">
        <w:t>’</w:t>
      </w:r>
      <w:r w:rsidR="003C68AE" w:rsidRPr="003E2514">
        <w:t>s objection on the ground</w:t>
      </w:r>
      <w:r w:rsidR="00D6528C" w:rsidRPr="003E2514">
        <w:t>s</w:t>
      </w:r>
      <w:r w:rsidR="003C68AE" w:rsidRPr="003E2514">
        <w:t xml:space="preserve"> t</w:t>
      </w:r>
      <w:r w:rsidR="003150B0" w:rsidRPr="003E2514">
        <w:t xml:space="preserve">hat </w:t>
      </w:r>
      <w:r w:rsidR="00B01A6F" w:rsidRPr="003E2514">
        <w:t xml:space="preserve">C.B. </w:t>
      </w:r>
      <w:r w:rsidR="00B01501" w:rsidRPr="003E2514">
        <w:t>must have had cognisance</w:t>
      </w:r>
      <w:r w:rsidR="00B01A6F" w:rsidRPr="003E2514">
        <w:t xml:space="preserve"> of the decision at the moment the </w:t>
      </w:r>
      <w:r w:rsidR="00D6528C" w:rsidRPr="003E2514">
        <w:t>p</w:t>
      </w:r>
      <w:r w:rsidR="0010774D" w:rsidRPr="003E2514">
        <w:t xml:space="preserve">ublic </w:t>
      </w:r>
      <w:r w:rsidR="00D6528C" w:rsidRPr="003E2514">
        <w:t>p</w:t>
      </w:r>
      <w:r w:rsidR="00B01A6F" w:rsidRPr="003E2514">
        <w:t>rosecutor</w:t>
      </w:r>
      <w:r w:rsidR="00E03673" w:rsidRPr="003E2514">
        <w:t xml:space="preserve"> </w:t>
      </w:r>
      <w:r w:rsidR="0010774D" w:rsidRPr="003E2514">
        <w:t>lodged an appeal with the Court of Cassation (see paragraph</w:t>
      </w:r>
      <w:r w:rsidR="00381E4A" w:rsidRPr="003E2514">
        <w:t xml:space="preserve"> </w:t>
      </w:r>
      <w:r w:rsidR="00381E4A" w:rsidRPr="003E2514">
        <w:fldChar w:fldCharType="begin"/>
      </w:r>
      <w:r w:rsidR="00381E4A" w:rsidRPr="003E2514">
        <w:instrText xml:space="preserve"> REF Prosecutor_appeal \h </w:instrText>
      </w:r>
      <w:r w:rsidR="000509A6" w:rsidRPr="003E2514">
        <w:instrText xml:space="preserve"> \* MERGEFORMAT </w:instrText>
      </w:r>
      <w:r w:rsidR="00381E4A" w:rsidRPr="003E2514">
        <w:fldChar w:fldCharType="separate"/>
      </w:r>
      <w:r w:rsidR="003E2514" w:rsidRPr="003E2514">
        <w:rPr>
          <w:noProof/>
        </w:rPr>
        <w:t>36</w:t>
      </w:r>
      <w:r w:rsidR="00381E4A" w:rsidRPr="003E2514">
        <w:fldChar w:fldCharType="end"/>
      </w:r>
      <w:r w:rsidR="00381E4A" w:rsidRPr="003E2514">
        <w:t xml:space="preserve"> </w:t>
      </w:r>
      <w:r w:rsidR="0010774D" w:rsidRPr="003E2514">
        <w:t>above) or</w:t>
      </w:r>
      <w:r w:rsidR="00B01A6F" w:rsidRPr="003E2514">
        <w:t xml:space="preserve">, </w:t>
      </w:r>
      <w:r w:rsidR="00B4663A" w:rsidRPr="003E2514">
        <w:t>at the latest</w:t>
      </w:r>
      <w:r w:rsidR="00B01A6F" w:rsidRPr="003E2514">
        <w:t>,</w:t>
      </w:r>
      <w:r w:rsidR="0010774D" w:rsidRPr="003E2514">
        <w:t xml:space="preserve"> </w:t>
      </w:r>
      <w:r w:rsidR="00B4663A" w:rsidRPr="003E2514">
        <w:t>when his representative</w:t>
      </w:r>
      <w:r w:rsidR="00E03673" w:rsidRPr="003E2514">
        <w:t xml:space="preserve"> </w:t>
      </w:r>
      <w:r w:rsidR="00B4663A" w:rsidRPr="003E2514">
        <w:t>filed a defen</w:t>
      </w:r>
      <w:r w:rsidR="00D6528C" w:rsidRPr="003E2514">
        <w:t>c</w:t>
      </w:r>
      <w:r w:rsidR="00B4663A" w:rsidRPr="003E2514">
        <w:t xml:space="preserve">e brief </w:t>
      </w:r>
      <w:r w:rsidR="007F0D16" w:rsidRPr="003E2514">
        <w:t>at a hearing before the Court of Cassation in May 2012.</w:t>
      </w:r>
      <w:proofErr w:type="gramEnd"/>
    </w:p>
    <w:p w:rsidR="0030204F"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40</w:t>
      </w:r>
      <w:r w:rsidRPr="003E2514">
        <w:rPr>
          <w:noProof/>
        </w:rPr>
        <w:fldChar w:fldCharType="end"/>
      </w:r>
      <w:r w:rsidR="008B02D7" w:rsidRPr="003E2514">
        <w:t>.  On 26 July 2012 C.B. appe</w:t>
      </w:r>
      <w:r w:rsidR="00B01A6F" w:rsidRPr="003E2514">
        <w:t>aled against the decision before</w:t>
      </w:r>
      <w:r w:rsidR="0030204F" w:rsidRPr="003E2514">
        <w:t xml:space="preserve"> the Court of Cassation.</w:t>
      </w:r>
    </w:p>
    <w:bookmarkStart w:id="17" w:name="Cassation_CB"/>
    <w:bookmarkStart w:id="18" w:name="Estratto_contumaciale"/>
    <w:p w:rsidR="00986D96" w:rsidRPr="003E2514" w:rsidRDefault="00EB02B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41</w:t>
      </w:r>
      <w:r w:rsidRPr="003E2514">
        <w:rPr>
          <w:noProof/>
        </w:rPr>
        <w:fldChar w:fldCharType="end"/>
      </w:r>
      <w:bookmarkEnd w:id="17"/>
      <w:bookmarkEnd w:id="18"/>
      <w:r w:rsidR="0030204F" w:rsidRPr="003E2514">
        <w:t>.</w:t>
      </w:r>
      <w:r w:rsidR="00DE5CF2" w:rsidRPr="003E2514">
        <w:t> </w:t>
      </w:r>
      <w:r w:rsidR="0030204F" w:rsidRPr="003E2514">
        <w:t> </w:t>
      </w:r>
      <w:r w:rsidR="00D6528C" w:rsidRPr="003E2514">
        <w:t xml:space="preserve">In </w:t>
      </w:r>
      <w:r w:rsidR="0030204F" w:rsidRPr="003E2514">
        <w:t xml:space="preserve">a judgment delivered on 11 July 2013, and filed with the </w:t>
      </w:r>
      <w:r w:rsidR="00333B46" w:rsidRPr="003E2514">
        <w:t>R</w:t>
      </w:r>
      <w:r w:rsidR="0030204F" w:rsidRPr="003E2514">
        <w:t xml:space="preserve">egistry on 1 August 2013, the Court of Cassation </w:t>
      </w:r>
      <w:r w:rsidR="00532402" w:rsidRPr="003E2514">
        <w:t>granted the appeal</w:t>
      </w:r>
      <w:r w:rsidR="00E504AB" w:rsidRPr="003E2514">
        <w:t xml:space="preserve">. </w:t>
      </w:r>
      <w:r w:rsidR="00532402" w:rsidRPr="003E2514">
        <w:t>It found that the failure to serve the</w:t>
      </w:r>
      <w:r w:rsidR="00312CD5" w:rsidRPr="003E2514">
        <w:t xml:space="preserve"> decision</w:t>
      </w:r>
      <w:r w:rsidR="000659CA" w:rsidRPr="003E2514">
        <w:t xml:space="preserve"> </w:t>
      </w:r>
      <w:r w:rsidR="0015439B" w:rsidRPr="003E2514">
        <w:t>on C.B</w:t>
      </w:r>
      <w:r w:rsidR="00E504AB" w:rsidRPr="003E2514">
        <w:t>.</w:t>
      </w:r>
      <w:r w:rsidR="009B6E71" w:rsidRPr="003E2514">
        <w:t xml:space="preserve"> could not be </w:t>
      </w:r>
      <w:r w:rsidR="00FD7EC5" w:rsidRPr="003E2514">
        <w:t xml:space="preserve">remedied by </w:t>
      </w:r>
      <w:r w:rsidR="00D6528C" w:rsidRPr="003E2514">
        <w:t>C.B.</w:t>
      </w:r>
      <w:r w:rsidR="003E2514" w:rsidRPr="003E2514">
        <w:t>’</w:t>
      </w:r>
      <w:r w:rsidR="00D6528C" w:rsidRPr="003E2514">
        <w:t xml:space="preserve">s </w:t>
      </w:r>
      <w:r w:rsidR="00D6528C" w:rsidRPr="003E2514">
        <w:lastRenderedPageBreak/>
        <w:t xml:space="preserve">potential </w:t>
      </w:r>
      <w:r w:rsidR="00FD7EC5" w:rsidRPr="003E2514">
        <w:t>knowledge</w:t>
      </w:r>
      <w:r w:rsidR="004A575A" w:rsidRPr="003E2514">
        <w:t xml:space="preserve"> of the decision</w:t>
      </w:r>
      <w:r w:rsidR="00FD7EC5" w:rsidRPr="003E2514">
        <w:t xml:space="preserve"> at a later stage, as argued by the District Court.</w:t>
      </w:r>
      <w:r w:rsidR="00E504AB" w:rsidRPr="003E2514">
        <w:t xml:space="preserve"> </w:t>
      </w:r>
      <w:r w:rsidR="00E7712D" w:rsidRPr="003E2514">
        <w:t>T</w:t>
      </w:r>
      <w:r w:rsidR="00E504AB" w:rsidRPr="003E2514">
        <w:t xml:space="preserve">he Asti District Court judgment of </w:t>
      </w:r>
      <w:r w:rsidR="00E7712D" w:rsidRPr="003E2514">
        <w:t>30 January 2012</w:t>
      </w:r>
      <w:r w:rsidR="00E504AB" w:rsidRPr="003E2514">
        <w:t xml:space="preserve"> </w:t>
      </w:r>
      <w:r w:rsidR="00E7712D" w:rsidRPr="003E2514">
        <w:t>could not</w:t>
      </w:r>
      <w:r w:rsidR="00E504AB" w:rsidRPr="003E2514">
        <w:t xml:space="preserve">, </w:t>
      </w:r>
      <w:r w:rsidR="00E7712D" w:rsidRPr="003E2514">
        <w:t>accordingly</w:t>
      </w:r>
      <w:r w:rsidR="00E504AB" w:rsidRPr="003E2514">
        <w:t>, be considered final and binding insofar as C.B. was concerned.</w:t>
      </w:r>
    </w:p>
    <w:p w:rsidR="001F0364"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42</w:t>
      </w:r>
      <w:r w:rsidRPr="003E2514">
        <w:rPr>
          <w:noProof/>
        </w:rPr>
        <w:fldChar w:fldCharType="end"/>
      </w:r>
      <w:r w:rsidR="001F0364" w:rsidRPr="003E2514">
        <w:t>.  </w:t>
      </w:r>
      <w:r w:rsidR="00E504AB" w:rsidRPr="003E2514">
        <w:t>Based on the latter decision,</w:t>
      </w:r>
      <w:r w:rsidR="003713DE" w:rsidRPr="003E2514">
        <w:t xml:space="preserve"> on 10 October 2013</w:t>
      </w:r>
      <w:r w:rsidR="00E504AB" w:rsidRPr="003E2514">
        <w:t xml:space="preserve"> C.B. lodged an appeal against the Asti District Court judgment of </w:t>
      </w:r>
      <w:r w:rsidR="00FD7EC5" w:rsidRPr="003E2514">
        <w:t>30 January 2012</w:t>
      </w:r>
      <w:r w:rsidR="00E504AB" w:rsidRPr="003E2514">
        <w:t xml:space="preserve"> with the Turin Court of Appeal</w:t>
      </w:r>
      <w:r w:rsidR="00A8327E" w:rsidRPr="003E2514">
        <w:t>, seeking</w:t>
      </w:r>
      <w:r w:rsidR="00B61395" w:rsidRPr="003E2514">
        <w:t xml:space="preserve"> an acquittal</w:t>
      </w:r>
      <w:r w:rsidR="00A8327E" w:rsidRPr="003E2514">
        <w:t>.</w:t>
      </w:r>
    </w:p>
    <w:p w:rsidR="00986D96"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43</w:t>
      </w:r>
      <w:r w:rsidRPr="003E2514">
        <w:rPr>
          <w:noProof/>
        </w:rPr>
        <w:fldChar w:fldCharType="end"/>
      </w:r>
      <w:r w:rsidR="00634E1B" w:rsidRPr="003E2514">
        <w:t>.  </w:t>
      </w:r>
      <w:r w:rsidR="00607719" w:rsidRPr="003E2514">
        <w:t>No</w:t>
      </w:r>
      <w:r w:rsidR="004D3D33" w:rsidRPr="003E2514">
        <w:t xml:space="preserve"> further</w:t>
      </w:r>
      <w:r w:rsidR="00607719" w:rsidRPr="003E2514">
        <w:t xml:space="preserve"> information has been provided by the parties as to the outcome of the proceedings.</w:t>
      </w:r>
    </w:p>
    <w:p w:rsidR="00591B8B" w:rsidRPr="003E2514" w:rsidRDefault="005C1005" w:rsidP="003E2514">
      <w:pPr>
        <w:pStyle w:val="ECHRHeading2"/>
      </w:pPr>
      <w:r w:rsidRPr="003E2514">
        <w:t>C</w:t>
      </w:r>
      <w:r w:rsidR="00591B8B" w:rsidRPr="003E2514">
        <w:t>.</w:t>
      </w:r>
      <w:r w:rsidR="006A2F00" w:rsidRPr="003E2514">
        <w:t>  </w:t>
      </w:r>
      <w:r w:rsidR="00591B8B" w:rsidRPr="003E2514">
        <w:t>Disciplinary proceedings against the prison officers</w:t>
      </w:r>
    </w:p>
    <w:bookmarkStart w:id="19" w:name="Disciplinary_proceedings"/>
    <w:p w:rsidR="004D7E31" w:rsidRPr="003E2514" w:rsidRDefault="00860721"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44</w:t>
      </w:r>
      <w:r w:rsidRPr="003E2514">
        <w:rPr>
          <w:noProof/>
        </w:rPr>
        <w:fldChar w:fldCharType="end"/>
      </w:r>
      <w:bookmarkEnd w:id="19"/>
      <w:r w:rsidR="00591B8B" w:rsidRPr="003E2514">
        <w:t>.  </w:t>
      </w:r>
      <w:r w:rsidR="008574FD" w:rsidRPr="003E2514">
        <w:t xml:space="preserve">In their observations of </w:t>
      </w:r>
      <w:r w:rsidR="002723E2" w:rsidRPr="003E2514">
        <w:t>31 March 2016</w:t>
      </w:r>
      <w:r w:rsidR="008574FD" w:rsidRPr="003E2514">
        <w:t xml:space="preserve">, the </w:t>
      </w:r>
      <w:r w:rsidR="004D7E31" w:rsidRPr="003E2514">
        <w:t>Government</w:t>
      </w:r>
      <w:r w:rsidR="008574FD" w:rsidRPr="003E2514">
        <w:t xml:space="preserve"> indicated that four </w:t>
      </w:r>
      <w:r w:rsidR="00DA050E" w:rsidRPr="003E2514">
        <w:t xml:space="preserve">prison </w:t>
      </w:r>
      <w:r w:rsidR="008574FD" w:rsidRPr="003E2514">
        <w:t>officers</w:t>
      </w:r>
      <w:r w:rsidR="004D7E31" w:rsidRPr="003E2514">
        <w:t xml:space="preserve"> had undergone disciplinary proceedings</w:t>
      </w:r>
      <w:r w:rsidR="00723B6E" w:rsidRPr="003E2514">
        <w:t xml:space="preserve"> in connection with the impugned events</w:t>
      </w:r>
      <w:r w:rsidR="00B62D33" w:rsidRPr="003E2514">
        <w:t xml:space="preserve"> and by different decisions issued on 29 January 2013 </w:t>
      </w:r>
      <w:r w:rsidR="00AC612F" w:rsidRPr="003E2514">
        <w:t xml:space="preserve">the following disciplinary sanctions </w:t>
      </w:r>
      <w:r w:rsidR="00D6528C" w:rsidRPr="003E2514">
        <w:t xml:space="preserve">had been </w:t>
      </w:r>
      <w:r w:rsidR="00AC612F" w:rsidRPr="003E2514">
        <w:t>imposed:</w:t>
      </w:r>
    </w:p>
    <w:p w:rsidR="008574FD" w:rsidRPr="003E2514" w:rsidRDefault="008574FD" w:rsidP="003E2514">
      <w:pPr>
        <w:pStyle w:val="ECHRPara"/>
      </w:pPr>
      <w:r w:rsidRPr="003E2514">
        <w:t>–</w:t>
      </w:r>
      <w:r w:rsidR="009A24B6" w:rsidRPr="003E2514">
        <w:t>  </w:t>
      </w:r>
      <w:r w:rsidR="00701E51" w:rsidRPr="003E2514">
        <w:t xml:space="preserve">C.B. </w:t>
      </w:r>
      <w:r w:rsidR="00C1163F" w:rsidRPr="003E2514">
        <w:t>was</w:t>
      </w:r>
      <w:r w:rsidR="005A606D" w:rsidRPr="003E2514">
        <w:t xml:space="preserve"> dismissed from his functions</w:t>
      </w:r>
      <w:r w:rsidR="00C1163F" w:rsidRPr="003E2514">
        <w:t xml:space="preserve"> </w:t>
      </w:r>
      <w:r w:rsidR="009558AD" w:rsidRPr="003E2514">
        <w:t>(</w:t>
      </w:r>
      <w:proofErr w:type="spellStart"/>
      <w:r w:rsidR="009558AD" w:rsidRPr="003E2514">
        <w:rPr>
          <w:i/>
        </w:rPr>
        <w:t>destituito</w:t>
      </w:r>
      <w:proofErr w:type="spellEnd"/>
      <w:r w:rsidR="009558AD" w:rsidRPr="003E2514">
        <w:rPr>
          <w:i/>
        </w:rPr>
        <w:t xml:space="preserve"> dal </w:t>
      </w:r>
      <w:proofErr w:type="spellStart"/>
      <w:r w:rsidR="009558AD" w:rsidRPr="003E2514">
        <w:rPr>
          <w:i/>
        </w:rPr>
        <w:t>servizio</w:t>
      </w:r>
      <w:proofErr w:type="spellEnd"/>
      <w:r w:rsidR="009558AD" w:rsidRPr="003E2514">
        <w:t>)</w:t>
      </w:r>
      <w:r w:rsidR="00BA2178" w:rsidRPr="003E2514">
        <w:t>. He</w:t>
      </w:r>
      <w:r w:rsidR="00BC591D" w:rsidRPr="003E2514">
        <w:t> </w:t>
      </w:r>
      <w:r w:rsidR="00BA2178" w:rsidRPr="003E2514">
        <w:t xml:space="preserve">was, however, reinstated </w:t>
      </w:r>
      <w:r w:rsidR="009F224F" w:rsidRPr="003E2514">
        <w:t xml:space="preserve">on </w:t>
      </w:r>
      <w:r w:rsidR="00BA2178" w:rsidRPr="003E2514">
        <w:t xml:space="preserve">26 November 2013, </w:t>
      </w:r>
      <w:r w:rsidR="009F224F" w:rsidRPr="003E2514">
        <w:t xml:space="preserve">following </w:t>
      </w:r>
      <w:r w:rsidR="00EB1889" w:rsidRPr="003E2514">
        <w:t>the</w:t>
      </w:r>
      <w:r w:rsidR="00D6528C" w:rsidRPr="003E2514">
        <w:t xml:space="preserve"> </w:t>
      </w:r>
      <w:r w:rsidR="009F224F" w:rsidRPr="003E2514">
        <w:t>Court of Cassation judgment of 11 July 2013 which suspended the binding nature of the Asti District Court</w:t>
      </w:r>
      <w:r w:rsidR="003E2514" w:rsidRPr="003E2514">
        <w:t>’</w:t>
      </w:r>
      <w:r w:rsidR="009F224F" w:rsidRPr="003E2514">
        <w:t xml:space="preserve">s judgment (see paragraph </w:t>
      </w:r>
      <w:r w:rsidR="00020A80" w:rsidRPr="003E2514">
        <w:fldChar w:fldCharType="begin"/>
      </w:r>
      <w:r w:rsidR="00020A80" w:rsidRPr="003E2514">
        <w:instrText xml:space="preserve"> REF Estratto_contumaciale \h </w:instrText>
      </w:r>
      <w:r w:rsidR="000509A6" w:rsidRPr="003E2514">
        <w:instrText xml:space="preserve"> \* MERGEFORMAT </w:instrText>
      </w:r>
      <w:r w:rsidR="00020A80" w:rsidRPr="003E2514">
        <w:fldChar w:fldCharType="separate"/>
      </w:r>
      <w:r w:rsidR="003E2514" w:rsidRPr="003E2514">
        <w:rPr>
          <w:noProof/>
        </w:rPr>
        <w:t>41</w:t>
      </w:r>
      <w:r w:rsidR="00020A80" w:rsidRPr="003E2514">
        <w:fldChar w:fldCharType="end"/>
      </w:r>
      <w:r w:rsidR="00020A80" w:rsidRPr="003E2514">
        <w:t xml:space="preserve"> </w:t>
      </w:r>
      <w:r w:rsidR="009F224F" w:rsidRPr="003E2514">
        <w:t>above)</w:t>
      </w:r>
      <w:r w:rsidRPr="003E2514">
        <w:t>;</w:t>
      </w:r>
    </w:p>
    <w:p w:rsidR="008574FD" w:rsidRPr="003E2514" w:rsidRDefault="009A24B6" w:rsidP="003E2514">
      <w:pPr>
        <w:pStyle w:val="ECHRPara"/>
      </w:pPr>
      <w:r w:rsidRPr="003E2514">
        <w:t>–  </w:t>
      </w:r>
      <w:r w:rsidR="00701E51" w:rsidRPr="003E2514">
        <w:t>M.S. was dismissed from his functions;</w:t>
      </w:r>
    </w:p>
    <w:p w:rsidR="008574FD" w:rsidRPr="003E2514" w:rsidRDefault="008574FD" w:rsidP="003E2514">
      <w:pPr>
        <w:pStyle w:val="ECHRPara"/>
      </w:pPr>
      <w:r w:rsidRPr="003E2514">
        <w:t>–</w:t>
      </w:r>
      <w:r w:rsidR="009A24B6" w:rsidRPr="003E2514">
        <w:t>  </w:t>
      </w:r>
      <w:r w:rsidR="00E84F2E" w:rsidRPr="003E2514">
        <w:t xml:space="preserve">A.D. </w:t>
      </w:r>
      <w:r w:rsidR="003C0710" w:rsidRPr="003E2514">
        <w:t>was suspended from duty for a period of 4</w:t>
      </w:r>
      <w:r w:rsidR="000A0101" w:rsidRPr="003E2514">
        <w:t xml:space="preserve"> months;</w:t>
      </w:r>
    </w:p>
    <w:p w:rsidR="0040020F" w:rsidRPr="003E2514" w:rsidRDefault="000A0101" w:rsidP="003E2514">
      <w:pPr>
        <w:pStyle w:val="ECHRPara"/>
      </w:pPr>
      <w:r w:rsidRPr="003E2514">
        <w:t>–</w:t>
      </w:r>
      <w:r w:rsidR="009A24B6" w:rsidRPr="003E2514">
        <w:t>  </w:t>
      </w:r>
      <w:r w:rsidRPr="003E2514">
        <w:t>D.B. was suspended from duty for a period</w:t>
      </w:r>
      <w:r w:rsidR="00BF4561" w:rsidRPr="003E2514">
        <w:t xml:space="preserve"> of 6 months.</w:t>
      </w:r>
    </w:p>
    <w:bookmarkStart w:id="20" w:name="Sospensione_precauzionale"/>
    <w:p w:rsidR="00D56F7B" w:rsidRPr="003E2514" w:rsidRDefault="00BA08AD"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45</w:t>
      </w:r>
      <w:r w:rsidRPr="003E2514">
        <w:fldChar w:fldCharType="end"/>
      </w:r>
      <w:bookmarkEnd w:id="20"/>
      <w:r w:rsidR="00D42B6D" w:rsidRPr="003E2514">
        <w:t>.</w:t>
      </w:r>
      <w:r w:rsidR="00C043ED" w:rsidRPr="003E2514">
        <w:t> </w:t>
      </w:r>
      <w:r w:rsidR="00D42B6D" w:rsidRPr="003E2514">
        <w:t> </w:t>
      </w:r>
      <w:r w:rsidR="00426685" w:rsidRPr="003E2514">
        <w:t>According to a documen</w:t>
      </w:r>
      <w:r w:rsidR="00D56F7B" w:rsidRPr="003E2514">
        <w:t>t issued by the</w:t>
      </w:r>
      <w:r w:rsidR="001B7BBA" w:rsidRPr="003E2514">
        <w:t xml:space="preserve"> </w:t>
      </w:r>
      <w:r w:rsidR="004D0617" w:rsidRPr="003E2514">
        <w:t xml:space="preserve">Staff </w:t>
      </w:r>
      <w:r w:rsidR="001B7BBA" w:rsidRPr="003E2514">
        <w:t xml:space="preserve">Director </w:t>
      </w:r>
      <w:r w:rsidR="00321FAD" w:rsidRPr="003E2514">
        <w:t xml:space="preserve">of the </w:t>
      </w:r>
      <w:r w:rsidR="00321FAD" w:rsidRPr="003E2514">
        <w:rPr>
          <w:bCs/>
        </w:rPr>
        <w:t>Prison Administration</w:t>
      </w:r>
      <w:r w:rsidR="00321FAD" w:rsidRPr="003E2514">
        <w:t xml:space="preserve"> Department</w:t>
      </w:r>
      <w:r w:rsidR="004D0617" w:rsidRPr="003E2514">
        <w:t xml:space="preserve"> of the Ministry of Justice</w:t>
      </w:r>
      <w:r w:rsidR="001B7BBA" w:rsidRPr="003E2514">
        <w:t xml:space="preserve"> on 12 October 2015</w:t>
      </w:r>
      <w:r w:rsidR="001E47D7" w:rsidRPr="003E2514">
        <w:t>,</w:t>
      </w:r>
      <w:r w:rsidR="00600A09" w:rsidRPr="003E2514">
        <w:t xml:space="preserve"> and furnished by the Government,</w:t>
      </w:r>
      <w:r w:rsidR="001E47D7" w:rsidRPr="003E2514">
        <w:t xml:space="preserve"> the four prison officers were not </w:t>
      </w:r>
      <w:r w:rsidR="006911B7" w:rsidRPr="003E2514">
        <w:t>suspended from duty (</w:t>
      </w:r>
      <w:proofErr w:type="spellStart"/>
      <w:r w:rsidR="006911B7" w:rsidRPr="003E2514">
        <w:rPr>
          <w:i/>
        </w:rPr>
        <w:t>sospensione</w:t>
      </w:r>
      <w:proofErr w:type="spellEnd"/>
      <w:r w:rsidR="006911B7" w:rsidRPr="003E2514">
        <w:rPr>
          <w:i/>
        </w:rPr>
        <w:t xml:space="preserve"> </w:t>
      </w:r>
      <w:proofErr w:type="spellStart"/>
      <w:r w:rsidR="006911B7" w:rsidRPr="003E2514">
        <w:rPr>
          <w:i/>
        </w:rPr>
        <w:t>precauzionale</w:t>
      </w:r>
      <w:proofErr w:type="spellEnd"/>
      <w:r w:rsidR="006911B7" w:rsidRPr="003E2514">
        <w:rPr>
          <w:i/>
        </w:rPr>
        <w:t xml:space="preserve"> dal </w:t>
      </w:r>
      <w:proofErr w:type="spellStart"/>
      <w:r w:rsidR="006911B7" w:rsidRPr="003E2514">
        <w:rPr>
          <w:i/>
        </w:rPr>
        <w:t>servizio</w:t>
      </w:r>
      <w:proofErr w:type="spellEnd"/>
      <w:r w:rsidR="006911B7" w:rsidRPr="003E2514">
        <w:t>) during the course of the</w:t>
      </w:r>
      <w:r w:rsidR="00845619" w:rsidRPr="003E2514">
        <w:t xml:space="preserve"> investigation or the</w:t>
      </w:r>
      <w:r w:rsidR="006911B7" w:rsidRPr="003E2514">
        <w:t xml:space="preserve"> trial.</w:t>
      </w:r>
    </w:p>
    <w:p w:rsidR="00986D96" w:rsidRPr="003E2514" w:rsidRDefault="005C1005" w:rsidP="003E2514">
      <w:pPr>
        <w:pStyle w:val="ECHRHeading2"/>
      </w:pPr>
      <w:r w:rsidRPr="003E2514">
        <w:t>D</w:t>
      </w:r>
      <w:r w:rsidR="007834B3" w:rsidRPr="003E2514">
        <w:t>.  </w:t>
      </w:r>
      <w:r w:rsidR="007719E1" w:rsidRPr="003E2514">
        <w:t>Medical documentation</w:t>
      </w:r>
    </w:p>
    <w:bookmarkStart w:id="21" w:name="Renne_med_start"/>
    <w:p w:rsidR="00986D96" w:rsidRPr="003E2514" w:rsidRDefault="00710955"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46</w:t>
      </w:r>
      <w:r w:rsidRPr="003E2514">
        <w:fldChar w:fldCharType="end"/>
      </w:r>
      <w:bookmarkEnd w:id="21"/>
      <w:r w:rsidRPr="003E2514">
        <w:t>.  </w:t>
      </w:r>
      <w:r w:rsidR="00D6528C" w:rsidRPr="003E2514">
        <w:t>A</w:t>
      </w:r>
      <w:r w:rsidR="003B0EB6" w:rsidRPr="003E2514">
        <w:t>t the Court</w:t>
      </w:r>
      <w:r w:rsidR="003E2514" w:rsidRPr="003E2514">
        <w:t>’</w:t>
      </w:r>
      <w:r w:rsidR="003B0EB6" w:rsidRPr="003E2514">
        <w:t>s request, the Government submitted extracts f</w:t>
      </w:r>
      <w:r w:rsidR="00D6528C" w:rsidRPr="003E2514">
        <w:t>rom</w:t>
      </w:r>
      <w:r w:rsidR="003B0EB6" w:rsidRPr="003E2514">
        <w:t xml:space="preserve"> the prison medical record</w:t>
      </w:r>
      <w:r w:rsidR="00234DCE" w:rsidRPr="003E2514">
        <w:t xml:space="preserve"> </w:t>
      </w:r>
      <w:r w:rsidR="00D6528C" w:rsidRPr="003E2514">
        <w:t xml:space="preserve">of </w:t>
      </w:r>
      <w:r w:rsidR="00234DCE" w:rsidRPr="003E2514">
        <w:t>the second applicant</w:t>
      </w:r>
      <w:r w:rsidR="003B0EB6" w:rsidRPr="003E2514">
        <w:t xml:space="preserve"> </w:t>
      </w:r>
      <w:r w:rsidR="00D6528C" w:rsidRPr="003E2514">
        <w:t xml:space="preserve">between </w:t>
      </w:r>
      <w:r w:rsidR="003B0EB6" w:rsidRPr="003E2514">
        <w:t>26</w:t>
      </w:r>
      <w:r w:rsidR="00D6528C" w:rsidRPr="003E2514">
        <w:t> </w:t>
      </w:r>
      <w:r w:rsidR="003B0EB6" w:rsidRPr="003E2514">
        <w:t xml:space="preserve">November 2004 </w:t>
      </w:r>
      <w:r w:rsidR="00D6528C" w:rsidRPr="003E2514">
        <w:t xml:space="preserve">and </w:t>
      </w:r>
      <w:r w:rsidR="003B0EB6" w:rsidRPr="003E2514">
        <w:t>5 March 2005 and typed copies of his hospitalisation record of 16</w:t>
      </w:r>
      <w:r w:rsidR="00B453F0" w:rsidRPr="003E2514">
        <w:t> </w:t>
      </w:r>
      <w:r w:rsidR="003B0EB6" w:rsidRPr="003E2514">
        <w:t>December 2004.</w:t>
      </w:r>
    </w:p>
    <w:p w:rsidR="00986D96"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47</w:t>
      </w:r>
      <w:r w:rsidRPr="003E2514">
        <w:rPr>
          <w:noProof/>
        </w:rPr>
        <w:fldChar w:fldCharType="end"/>
      </w:r>
      <w:r w:rsidR="00C02D8B" w:rsidRPr="003E2514">
        <w:t>.  </w:t>
      </w:r>
      <w:r w:rsidR="003B0EB6" w:rsidRPr="003E2514">
        <w:t xml:space="preserve">The prison medical record indicates that on 13 December 2004 </w:t>
      </w:r>
      <w:r w:rsidR="00C02D8B" w:rsidRPr="003E2514">
        <w:t xml:space="preserve">the </w:t>
      </w:r>
      <w:r w:rsidR="000F419F" w:rsidRPr="003E2514">
        <w:t xml:space="preserve">second </w:t>
      </w:r>
      <w:r w:rsidR="00C02D8B" w:rsidRPr="003E2514">
        <w:t>applicant was examined</w:t>
      </w:r>
      <w:r w:rsidR="00F16CA3" w:rsidRPr="003E2514">
        <w:t xml:space="preserve"> visually (</w:t>
      </w:r>
      <w:r w:rsidR="00D6528C" w:rsidRPr="003E2514">
        <w:t xml:space="preserve">whilst still </w:t>
      </w:r>
      <w:r w:rsidR="00C02D8B" w:rsidRPr="003E2514">
        <w:t>“behind bars”</w:t>
      </w:r>
      <w:r w:rsidR="00F16CA3" w:rsidRPr="003E2514">
        <w:t>)</w:t>
      </w:r>
      <w:r w:rsidR="00C02D8B" w:rsidRPr="003E2514">
        <w:t>. He</w:t>
      </w:r>
      <w:r w:rsidR="009A24B6" w:rsidRPr="003E2514">
        <w:t xml:space="preserve"> </w:t>
      </w:r>
      <w:r w:rsidR="00C02D8B" w:rsidRPr="003E2514">
        <w:t xml:space="preserve">complained of pain in the thoracic area and right ear. </w:t>
      </w:r>
      <w:r w:rsidR="00E97D87" w:rsidRPr="003E2514">
        <w:t xml:space="preserve">The reporting physician noted the presence of </w:t>
      </w:r>
      <w:proofErr w:type="spellStart"/>
      <w:r w:rsidR="00E97D87" w:rsidRPr="003E2514">
        <w:t>ecchymoses</w:t>
      </w:r>
      <w:proofErr w:type="spellEnd"/>
      <w:r w:rsidR="00E97D87" w:rsidRPr="003E2514">
        <w:t xml:space="preserve"> and h</w:t>
      </w:r>
      <w:r w:rsidR="00044C6B" w:rsidRPr="003E2514">
        <w:t>a</w:t>
      </w:r>
      <w:r w:rsidR="00E97D87" w:rsidRPr="003E2514">
        <w:t>ematomas around the patient</w:t>
      </w:r>
      <w:r w:rsidR="003E2514" w:rsidRPr="003E2514">
        <w:t>’</w:t>
      </w:r>
      <w:r w:rsidR="00E97D87" w:rsidRPr="003E2514">
        <w:t>s ribcage. He recommended a more thorough medical examination and/or transfer to the infirmary.</w:t>
      </w:r>
    </w:p>
    <w:p w:rsidR="00986D96"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48</w:t>
      </w:r>
      <w:r w:rsidRPr="003E2514">
        <w:rPr>
          <w:noProof/>
        </w:rPr>
        <w:fldChar w:fldCharType="end"/>
      </w:r>
      <w:r w:rsidR="001812AF" w:rsidRPr="003E2514">
        <w:t>.  </w:t>
      </w:r>
      <w:r w:rsidR="00E97D87" w:rsidRPr="003E2514">
        <w:t xml:space="preserve">The record further indicates that another </w:t>
      </w:r>
      <w:r w:rsidR="00F16CA3" w:rsidRPr="003E2514">
        <w:t>visual examination (</w:t>
      </w:r>
      <w:r w:rsidR="00293033" w:rsidRPr="003E2514">
        <w:t xml:space="preserve">also </w:t>
      </w:r>
      <w:r w:rsidR="00E97D87" w:rsidRPr="003E2514">
        <w:t>“behind bars”</w:t>
      </w:r>
      <w:r w:rsidR="00F16CA3" w:rsidRPr="003E2514">
        <w:t>)</w:t>
      </w:r>
      <w:r w:rsidR="008042DB" w:rsidRPr="003E2514">
        <w:t xml:space="preserve"> took place on 15 December</w:t>
      </w:r>
      <w:r w:rsidR="001812AF" w:rsidRPr="003E2514">
        <w:t> </w:t>
      </w:r>
      <w:r w:rsidR="008042DB" w:rsidRPr="003E2514">
        <w:t>2004</w:t>
      </w:r>
      <w:r w:rsidR="00E97D87" w:rsidRPr="003E2514">
        <w:t>.</w:t>
      </w:r>
      <w:r w:rsidR="008042DB" w:rsidRPr="003E2514">
        <w:t xml:space="preserve"> The </w:t>
      </w:r>
      <w:r w:rsidR="00392FEF" w:rsidRPr="003E2514">
        <w:t>information in this entry is the same as in the previous entry</w:t>
      </w:r>
      <w:r w:rsidR="008042DB" w:rsidRPr="003E2514">
        <w:t xml:space="preserve">. </w:t>
      </w:r>
      <w:r w:rsidR="00B01501" w:rsidRPr="003E2514">
        <w:t>T</w:t>
      </w:r>
      <w:r w:rsidR="008042DB" w:rsidRPr="003E2514">
        <w:t>ransfer to the infirmary</w:t>
      </w:r>
      <w:r w:rsidR="001812AF" w:rsidRPr="003E2514">
        <w:t xml:space="preserve"> for a medical examination</w:t>
      </w:r>
      <w:r w:rsidR="008042DB" w:rsidRPr="003E2514">
        <w:t xml:space="preserve"> was</w:t>
      </w:r>
      <w:r w:rsidR="001812AF" w:rsidRPr="003E2514">
        <w:t xml:space="preserve"> </w:t>
      </w:r>
      <w:r w:rsidR="008042DB" w:rsidRPr="003E2514">
        <w:t>recommended.</w:t>
      </w:r>
    </w:p>
    <w:p w:rsidR="00986D96" w:rsidRPr="003E2514" w:rsidRDefault="003B0EB6" w:rsidP="003E2514">
      <w:pPr>
        <w:pStyle w:val="ECHRPara"/>
      </w:pPr>
      <w:r w:rsidRPr="003E2514">
        <w:rPr>
          <w:lang w:val="it-IT"/>
        </w:rPr>
        <w:lastRenderedPageBreak/>
        <w:fldChar w:fldCharType="begin"/>
      </w:r>
      <w:r w:rsidRPr="003E2514">
        <w:instrText xml:space="preserve"> SEQ level0 \*arabic </w:instrText>
      </w:r>
      <w:r w:rsidRPr="003E2514">
        <w:rPr>
          <w:lang w:val="it-IT"/>
        </w:rPr>
        <w:fldChar w:fldCharType="separate"/>
      </w:r>
      <w:r w:rsidR="003E2514" w:rsidRPr="003E2514">
        <w:rPr>
          <w:noProof/>
        </w:rPr>
        <w:t>49</w:t>
      </w:r>
      <w:r w:rsidRPr="003E2514">
        <w:fldChar w:fldCharType="end"/>
      </w:r>
      <w:r w:rsidRPr="003E2514">
        <w:t xml:space="preserve">.  On 15 December 2004 the </w:t>
      </w:r>
      <w:r w:rsidR="00A32AEB" w:rsidRPr="003E2514">
        <w:t>record shows that the applicant</w:t>
      </w:r>
      <w:r w:rsidR="00B77F7C" w:rsidRPr="003E2514">
        <w:t xml:space="preserve"> </w:t>
      </w:r>
      <w:r w:rsidR="001812AF" w:rsidRPr="003E2514">
        <w:t>underwent a medical examination in the afternoon</w:t>
      </w:r>
      <w:r w:rsidR="00B77F7C" w:rsidRPr="003E2514">
        <w:t xml:space="preserve">. The physician reported </w:t>
      </w:r>
      <w:proofErr w:type="spellStart"/>
      <w:r w:rsidR="00044C6B" w:rsidRPr="003E2514">
        <w:t>ecchymoses</w:t>
      </w:r>
      <w:proofErr w:type="spellEnd"/>
      <w:r w:rsidR="00044C6B" w:rsidRPr="003E2514">
        <w:t xml:space="preserve"> </w:t>
      </w:r>
      <w:r w:rsidR="00B77F7C" w:rsidRPr="003E2514">
        <w:t>on the patient</w:t>
      </w:r>
      <w:r w:rsidR="003E2514" w:rsidRPr="003E2514">
        <w:t>’</w:t>
      </w:r>
      <w:r w:rsidR="00B77F7C" w:rsidRPr="003E2514">
        <w:t xml:space="preserve">s ribcage and in the </w:t>
      </w:r>
      <w:proofErr w:type="spellStart"/>
      <w:r w:rsidR="00B77F7C" w:rsidRPr="003E2514">
        <w:t>retroauric</w:t>
      </w:r>
      <w:r w:rsidR="00157C19" w:rsidRPr="003E2514">
        <w:t>u</w:t>
      </w:r>
      <w:r w:rsidR="00B77F7C" w:rsidRPr="003E2514">
        <w:t>lar</w:t>
      </w:r>
      <w:proofErr w:type="spellEnd"/>
      <w:r w:rsidR="00B77F7C" w:rsidRPr="003E2514">
        <w:t xml:space="preserve"> region. P</w:t>
      </w:r>
      <w:r w:rsidR="00B77F7C" w:rsidRPr="003E2514">
        <w:rPr>
          <w:bCs/>
        </w:rPr>
        <w:t>alpation</w:t>
      </w:r>
      <w:r w:rsidR="00B77F7C" w:rsidRPr="003E2514">
        <w:t xml:space="preserve"> of the patient revealed diffuse pain. </w:t>
      </w:r>
      <w:r w:rsidR="00A32AEB" w:rsidRPr="003E2514">
        <w:t>The reporting physician</w:t>
      </w:r>
      <w:r w:rsidRPr="003E2514">
        <w:t xml:space="preserve"> </w:t>
      </w:r>
      <w:r w:rsidR="008B74CF" w:rsidRPr="003E2514">
        <w:t>recommended</w:t>
      </w:r>
      <w:r w:rsidR="00B77F7C" w:rsidRPr="003E2514">
        <w:t xml:space="preserve"> that</w:t>
      </w:r>
      <w:r w:rsidR="008B74CF" w:rsidRPr="003E2514">
        <w:t xml:space="preserve"> </w:t>
      </w:r>
      <w:r w:rsidR="00710955" w:rsidRPr="003E2514">
        <w:t>X</w:t>
      </w:r>
      <w:r w:rsidR="00293033" w:rsidRPr="003E2514">
        <w:noBreakHyphen/>
      </w:r>
      <w:r w:rsidR="00710955" w:rsidRPr="003E2514">
        <w:t>rays</w:t>
      </w:r>
      <w:r w:rsidR="00B77F7C" w:rsidRPr="003E2514">
        <w:t xml:space="preserve"> be performed</w:t>
      </w:r>
      <w:r w:rsidR="00B754E2" w:rsidRPr="003E2514">
        <w:t xml:space="preserve"> for a suspected fracture</w:t>
      </w:r>
      <w:r w:rsidRPr="003E2514">
        <w:t>.</w:t>
      </w:r>
      <w:r w:rsidR="007161CE" w:rsidRPr="003E2514">
        <w:t xml:space="preserve"> Painkillers were </w:t>
      </w:r>
      <w:r w:rsidR="00903F84" w:rsidRPr="003E2514">
        <w:t>administered</w:t>
      </w:r>
      <w:r w:rsidR="007161CE" w:rsidRPr="003E2514">
        <w:t>.</w:t>
      </w:r>
    </w:p>
    <w:p w:rsidR="00986D96"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50</w:t>
      </w:r>
      <w:r w:rsidRPr="003E2514">
        <w:rPr>
          <w:noProof/>
        </w:rPr>
        <w:fldChar w:fldCharType="end"/>
      </w:r>
      <w:r w:rsidR="00710955" w:rsidRPr="003E2514">
        <w:t>.  The entry of 16 December 2004 reports the applicant</w:t>
      </w:r>
      <w:r w:rsidR="003E2514" w:rsidRPr="003E2514">
        <w:t>’</w:t>
      </w:r>
      <w:r w:rsidR="00710955" w:rsidRPr="003E2514">
        <w:t xml:space="preserve">s transfer to </w:t>
      </w:r>
      <w:r w:rsidR="00A82B5A" w:rsidRPr="003E2514">
        <w:t>the emergency room of the Asti Civil H</w:t>
      </w:r>
      <w:r w:rsidR="00710955" w:rsidRPr="003E2514">
        <w:t xml:space="preserve">ospital </w:t>
      </w:r>
      <w:r w:rsidR="00772D8A" w:rsidRPr="003E2514">
        <w:t xml:space="preserve">as a consequence of </w:t>
      </w:r>
      <w:r w:rsidR="00D9555A" w:rsidRPr="003E2514">
        <w:t>traumatic injury.</w:t>
      </w:r>
    </w:p>
    <w:bookmarkStart w:id="22" w:name="Hospitalisation_ER"/>
    <w:p w:rsidR="00986D96" w:rsidRPr="003E2514" w:rsidRDefault="003B0EB6"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51</w:t>
      </w:r>
      <w:r w:rsidRPr="003E2514">
        <w:fldChar w:fldCharType="end"/>
      </w:r>
      <w:bookmarkEnd w:id="22"/>
      <w:r w:rsidRPr="003E2514">
        <w:t>.  According to the medical record of the Asti Civil Hospital</w:t>
      </w:r>
      <w:r w:rsidR="001E12A2" w:rsidRPr="003E2514">
        <w:t>,</w:t>
      </w:r>
      <w:r w:rsidRPr="003E2514">
        <w:t xml:space="preserve"> </w:t>
      </w:r>
      <w:r w:rsidR="001E12A2" w:rsidRPr="003E2514">
        <w:t>a</w:t>
      </w:r>
      <w:r w:rsidRPr="003E2514">
        <w:t>n X-ray revealed a fractured rib and the medical examination disclosed diffuse bruising in the thoracic and abdominal area</w:t>
      </w:r>
      <w:r w:rsidR="00A80FDD" w:rsidRPr="003E2514">
        <w:t xml:space="preserve"> and pain on palpation</w:t>
      </w:r>
      <w:r w:rsidRPr="003E2514">
        <w:t>.</w:t>
      </w:r>
      <w:r w:rsidR="00A80FDD" w:rsidRPr="003E2514">
        <w:t xml:space="preserve"> </w:t>
      </w:r>
      <w:r w:rsidR="00DE0598" w:rsidRPr="003E2514">
        <w:t>The</w:t>
      </w:r>
      <w:r w:rsidR="009A24B6" w:rsidRPr="003E2514">
        <w:t xml:space="preserve"> </w:t>
      </w:r>
      <w:r w:rsidR="00DE0598" w:rsidRPr="003E2514">
        <w:t xml:space="preserve">record states that the applicant </w:t>
      </w:r>
      <w:r w:rsidR="00452034" w:rsidRPr="003E2514">
        <w:t>told the doctor</w:t>
      </w:r>
      <w:r w:rsidR="00DE0598" w:rsidRPr="003E2514">
        <w:t xml:space="preserve"> his injuries occurred as a consequence of an accidental fall.</w:t>
      </w:r>
    </w:p>
    <w:p w:rsidR="00C4688C" w:rsidRPr="003E2514" w:rsidRDefault="00C4688C"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52</w:t>
      </w:r>
      <w:r w:rsidRPr="003E2514">
        <w:fldChar w:fldCharType="end"/>
      </w:r>
      <w:r w:rsidRPr="003E2514">
        <w:t>.  The prison medical record entry on the applicant</w:t>
      </w:r>
      <w:r w:rsidR="003E2514" w:rsidRPr="003E2514">
        <w:t>’</w:t>
      </w:r>
      <w:r w:rsidRPr="003E2514">
        <w:t>s discharge from the hospital</w:t>
      </w:r>
      <w:r w:rsidR="007C3953" w:rsidRPr="003E2514">
        <w:t xml:space="preserve"> on 16 December 2004</w:t>
      </w:r>
      <w:r w:rsidRPr="003E2514">
        <w:t xml:space="preserve"> </w:t>
      </w:r>
      <w:r w:rsidR="00855CA9" w:rsidRPr="003E2514">
        <w:t xml:space="preserve">shows that he was </w:t>
      </w:r>
      <w:r w:rsidR="00293033" w:rsidRPr="003E2514">
        <w:t>prescrib</w:t>
      </w:r>
      <w:r w:rsidR="00855CA9" w:rsidRPr="003E2514">
        <w:t>ed painkillers.</w:t>
      </w:r>
    </w:p>
    <w:p w:rsidR="00725D9D" w:rsidRPr="003E2514" w:rsidRDefault="00725D9D"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53</w:t>
      </w:r>
      <w:r w:rsidRPr="003E2514">
        <w:fldChar w:fldCharType="end"/>
      </w:r>
      <w:r w:rsidRPr="003E2514">
        <w:t>.  As to the first applicant, no copy of the prison medical register had been submitted by the Government, notwithstanding the Court</w:t>
      </w:r>
      <w:r w:rsidR="003E2514" w:rsidRPr="003E2514">
        <w:t>’</w:t>
      </w:r>
      <w:r w:rsidRPr="003E2514">
        <w:t>s request for such information.</w:t>
      </w:r>
    </w:p>
    <w:p w:rsidR="00014566" w:rsidRPr="003E2514" w:rsidRDefault="00014566" w:rsidP="003E2514">
      <w:pPr>
        <w:pStyle w:val="ECHRHeading1"/>
      </w:pPr>
      <w:r w:rsidRPr="003E2514">
        <w:t>II.</w:t>
      </w:r>
      <w:r w:rsidR="008A1E15" w:rsidRPr="003E2514">
        <w:t>  </w:t>
      </w:r>
      <w:r w:rsidRPr="003E2514">
        <w:t>RELEVANT DOMESTIC LAW AND PRACTICE</w:t>
      </w:r>
    </w:p>
    <w:p w:rsidR="00986D96" w:rsidRPr="003E2514" w:rsidRDefault="00FE284E" w:rsidP="003E2514">
      <w:pPr>
        <w:pStyle w:val="ECHRHeading2"/>
      </w:pPr>
      <w:r w:rsidRPr="003E2514">
        <w:t>A</w:t>
      </w:r>
      <w:r w:rsidR="008A1E15" w:rsidRPr="003E2514">
        <w:t>.  </w:t>
      </w:r>
      <w:r w:rsidR="003E3ADB" w:rsidRPr="003E2514">
        <w:t xml:space="preserve">Relevant </w:t>
      </w:r>
      <w:r w:rsidR="00EE6167" w:rsidRPr="003E2514">
        <w:t xml:space="preserve">offences </w:t>
      </w:r>
      <w:r w:rsidR="00145353" w:rsidRPr="003E2514">
        <w:t>as provided by</w:t>
      </w:r>
      <w:r w:rsidR="00EE6167" w:rsidRPr="003E2514">
        <w:t xml:space="preserve"> </w:t>
      </w:r>
      <w:r w:rsidR="003E3ADB" w:rsidRPr="003E2514">
        <w:t>the Italian Criminal Code</w:t>
      </w:r>
    </w:p>
    <w:p w:rsidR="00511438" w:rsidRPr="003E2514" w:rsidRDefault="0051143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54</w:t>
      </w:r>
      <w:r w:rsidRPr="003E2514">
        <w:rPr>
          <w:lang w:val="it-IT"/>
        </w:rPr>
        <w:fldChar w:fldCharType="end"/>
      </w:r>
      <w:r w:rsidRPr="003E2514">
        <w:t>.  Article 572 of the Italian Criminal Code (hereinafter “the Criminal Code”) provides that anyone found guilty of ill-treating a member of his or her family, a child under fourteen years of age, or a person under his or her authority or who has been placed in his or her care or custody may be sentenced to a term of imprisonment of up to five years.</w:t>
      </w:r>
    </w:p>
    <w:p w:rsidR="00511438"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55</w:t>
      </w:r>
      <w:r w:rsidRPr="003E2514">
        <w:rPr>
          <w:noProof/>
        </w:rPr>
        <w:fldChar w:fldCharType="end"/>
      </w:r>
      <w:r w:rsidR="00511438" w:rsidRPr="003E2514">
        <w:t>.  Article 582 of the Criminal Code provides that anyone who causes bodily harm to another person, resulting in that person</w:t>
      </w:r>
      <w:r w:rsidR="003E2514" w:rsidRPr="003E2514">
        <w:t>’</w:t>
      </w:r>
      <w:r w:rsidR="00511438" w:rsidRPr="003E2514">
        <w:t>s mental or bodily injury, may be sentenced to a term of imprisonment ranging from three months to three years.</w:t>
      </w:r>
    </w:p>
    <w:p w:rsidR="00986D96" w:rsidRPr="003E2514" w:rsidRDefault="005D344C"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56</w:t>
      </w:r>
      <w:r w:rsidRPr="003E2514">
        <w:fldChar w:fldCharType="end"/>
      </w:r>
      <w:r w:rsidRPr="003E2514">
        <w:t>.  </w:t>
      </w:r>
      <w:r w:rsidR="00511438" w:rsidRPr="003E2514">
        <w:t>Article 608 of the Criminal Code provides that</w:t>
      </w:r>
      <w:r w:rsidR="00A40CE7" w:rsidRPr="003E2514">
        <w:t xml:space="preserve"> a public official who subjects a detainee or a person </w:t>
      </w:r>
      <w:r w:rsidR="002D1A21" w:rsidRPr="003E2514">
        <w:t xml:space="preserve">in </w:t>
      </w:r>
      <w:r w:rsidR="00A40CE7" w:rsidRPr="003E2514">
        <w:t xml:space="preserve">his or her custody to punitive measures not provided for by law </w:t>
      </w:r>
      <w:r w:rsidR="00511438" w:rsidRPr="003E2514">
        <w:t>may be sentenced to a term of imprisonment of up to thirty months.</w:t>
      </w:r>
    </w:p>
    <w:p w:rsidR="00986D96"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57</w:t>
      </w:r>
      <w:r w:rsidRPr="003E2514">
        <w:rPr>
          <w:noProof/>
        </w:rPr>
        <w:fldChar w:fldCharType="end"/>
      </w:r>
      <w:r w:rsidR="00511438" w:rsidRPr="003E2514">
        <w:t xml:space="preserve">.  Article 61 of the Criminal Code contains general provisions related to aggravating circumstances. Article 61 § 9 provides that </w:t>
      </w:r>
      <w:r w:rsidR="00293033" w:rsidRPr="003E2514">
        <w:t>the commission of</w:t>
      </w:r>
      <w:r w:rsidR="00511438" w:rsidRPr="003E2514">
        <w:t xml:space="preserve"> an offence as the result of abuse of authority or by a public official in the performance of his or her duties</w:t>
      </w:r>
      <w:r w:rsidR="00293033" w:rsidRPr="003E2514">
        <w:t xml:space="preserve"> constitutes an aggravating circumstance</w:t>
      </w:r>
      <w:r w:rsidR="00511438" w:rsidRPr="003E2514">
        <w:t>.</w:t>
      </w:r>
    </w:p>
    <w:p w:rsidR="00BB479B" w:rsidRPr="003E2514" w:rsidRDefault="00FE284E" w:rsidP="003E2514">
      <w:pPr>
        <w:pStyle w:val="ECHRHeading2"/>
      </w:pPr>
      <w:r w:rsidRPr="003E2514">
        <w:lastRenderedPageBreak/>
        <w:t>B</w:t>
      </w:r>
      <w:r w:rsidR="00BB479B" w:rsidRPr="003E2514">
        <w:t>.  </w:t>
      </w:r>
      <w:r w:rsidR="00B004A8" w:rsidRPr="003E2514">
        <w:t>Time-</w:t>
      </w:r>
      <w:r w:rsidR="00BB479B" w:rsidRPr="003E2514">
        <w:t>barring of criminal offences</w:t>
      </w:r>
    </w:p>
    <w:p w:rsidR="00BB479B" w:rsidRPr="003E2514" w:rsidRDefault="00BB479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58</w:t>
      </w:r>
      <w:r w:rsidRPr="003E2514">
        <w:fldChar w:fldCharType="end"/>
      </w:r>
      <w:r w:rsidRPr="003E2514">
        <w:t>.  </w:t>
      </w:r>
      <w:r w:rsidR="00210EFB" w:rsidRPr="003E2514">
        <w:t>The relevant domestic law provisions</w:t>
      </w:r>
      <w:r w:rsidR="008137CD" w:rsidRPr="003E2514">
        <w:t xml:space="preserve"> are set out </w:t>
      </w:r>
      <w:r w:rsidR="003C5B4D" w:rsidRPr="003E2514">
        <w:t>in</w:t>
      </w:r>
      <w:r w:rsidR="008137CD" w:rsidRPr="003E2514">
        <w:t xml:space="preserve"> </w:t>
      </w:r>
      <w:proofErr w:type="spellStart"/>
      <w:r w:rsidR="00FE5E67" w:rsidRPr="003E2514">
        <w:rPr>
          <w:i/>
        </w:rPr>
        <w:t>Cestaro</w:t>
      </w:r>
      <w:proofErr w:type="spellEnd"/>
      <w:r w:rsidR="00FE5E67" w:rsidRPr="003E2514">
        <w:rPr>
          <w:i/>
        </w:rPr>
        <w:t xml:space="preserve"> v. Italy</w:t>
      </w:r>
      <w:r w:rsidR="00FE5E67" w:rsidRPr="003E2514">
        <w:rPr>
          <w:snapToGrid w:val="0"/>
        </w:rPr>
        <w:t xml:space="preserve">, </w:t>
      </w:r>
      <w:r w:rsidR="00FE5E67" w:rsidRPr="003E2514">
        <w:t>no. 6884/11</w:t>
      </w:r>
      <w:r w:rsidR="00FE5E67" w:rsidRPr="003E2514">
        <w:rPr>
          <w:snapToGrid w:val="0"/>
        </w:rPr>
        <w:t xml:space="preserve">, §§ </w:t>
      </w:r>
      <w:r w:rsidR="001375BC" w:rsidRPr="003E2514">
        <w:rPr>
          <w:snapToGrid w:val="0"/>
        </w:rPr>
        <w:t>96-101</w:t>
      </w:r>
      <w:r w:rsidR="00FE5E67" w:rsidRPr="003E2514">
        <w:rPr>
          <w:snapToGrid w:val="0"/>
        </w:rPr>
        <w:t>, 7 April 2015</w:t>
      </w:r>
      <w:r w:rsidR="00FE5E67" w:rsidRPr="003E2514">
        <w:t>.</w:t>
      </w:r>
    </w:p>
    <w:p w:rsidR="006A3346" w:rsidRPr="003E2514" w:rsidRDefault="00FE284E" w:rsidP="003E2514">
      <w:pPr>
        <w:pStyle w:val="ECHRHeading2"/>
      </w:pPr>
      <w:r w:rsidRPr="003E2514">
        <w:t>C</w:t>
      </w:r>
      <w:r w:rsidR="008A1E15" w:rsidRPr="003E2514">
        <w:t>.  </w:t>
      </w:r>
      <w:r w:rsidR="00E61579" w:rsidRPr="003E2514">
        <w:t>Introduction of</w:t>
      </w:r>
      <w:r w:rsidR="006A3346" w:rsidRPr="003E2514">
        <w:t xml:space="preserve"> the offence of torture into the Italian</w:t>
      </w:r>
      <w:r w:rsidR="006E512F" w:rsidRPr="003E2514">
        <w:t xml:space="preserve"> criminal law fra</w:t>
      </w:r>
      <w:r w:rsidR="00BE5E56" w:rsidRPr="003E2514">
        <w:t>mework</w:t>
      </w:r>
    </w:p>
    <w:p w:rsidR="0040020F" w:rsidRPr="003E2514" w:rsidRDefault="00D16039"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59</w:t>
      </w:r>
      <w:r w:rsidRPr="003E2514">
        <w:fldChar w:fldCharType="end"/>
      </w:r>
      <w:r w:rsidRPr="003E2514">
        <w:t>.  </w:t>
      </w:r>
      <w:r w:rsidR="006A3346" w:rsidRPr="003E2514">
        <w:t>On 5 March 2014 the Italian Senate approved a bill introducing the offence of torture int</w:t>
      </w:r>
      <w:r w:rsidR="00912706" w:rsidRPr="003E2514">
        <w:t>o the Italian legal system. The</w:t>
      </w:r>
      <w:r w:rsidR="006A3346" w:rsidRPr="003E2514">
        <w:t xml:space="preserve"> bill was subsequently </w:t>
      </w:r>
      <w:r w:rsidR="006D7782" w:rsidRPr="003E2514">
        <w:t>se</w:t>
      </w:r>
      <w:r w:rsidR="006A3346" w:rsidRPr="003E2514">
        <w:t xml:space="preserve">nt to the Chamber of Deputies for approval. </w:t>
      </w:r>
      <w:r w:rsidR="006A3346" w:rsidRPr="003E2514">
        <w:rPr>
          <w:bCs/>
        </w:rPr>
        <w:t xml:space="preserve">The Chamber of Deputies </w:t>
      </w:r>
      <w:r w:rsidRPr="003E2514">
        <w:t>amended the bill and the text</w:t>
      </w:r>
      <w:r w:rsidR="006A3346" w:rsidRPr="003E2514">
        <w:t xml:space="preserve"> </w:t>
      </w:r>
      <w:r w:rsidR="006D7782" w:rsidRPr="003E2514">
        <w:t xml:space="preserve">was </w:t>
      </w:r>
      <w:r w:rsidR="006A3346" w:rsidRPr="003E2514">
        <w:t>returned to the Senate</w:t>
      </w:r>
      <w:r w:rsidRPr="003E2514">
        <w:t xml:space="preserve"> for reconsideration on 13 A</w:t>
      </w:r>
      <w:r w:rsidR="006D7782" w:rsidRPr="003E2514">
        <w:t>p</w:t>
      </w:r>
      <w:r w:rsidRPr="003E2514">
        <w:t>ril 2015.</w:t>
      </w:r>
      <w:r w:rsidR="00FE455F" w:rsidRPr="003E2514">
        <w:t xml:space="preserve"> </w:t>
      </w:r>
      <w:r w:rsidR="00695E94" w:rsidRPr="003E2514">
        <w:t>On 17 May 2017 the Senate approved the bill, with further amendments, and the text once again returned to the Chamber of Deputies for reconsideration.</w:t>
      </w:r>
      <w:r w:rsidR="0009057B" w:rsidRPr="003E2514">
        <w:t xml:space="preserve"> </w:t>
      </w:r>
      <w:r w:rsidR="001D54F5" w:rsidRPr="003E2514">
        <w:t>On 5 July 2017</w:t>
      </w:r>
      <w:r w:rsidR="00E61579" w:rsidRPr="003E2514">
        <w:t xml:space="preserve"> the Chamber of Deputies</w:t>
      </w:r>
      <w:r w:rsidR="002D40D8" w:rsidRPr="003E2514">
        <w:t xml:space="preserve"> approved</w:t>
      </w:r>
      <w:r w:rsidR="00114331" w:rsidRPr="003E2514">
        <w:t xml:space="preserve"> and adopted</w:t>
      </w:r>
      <w:r w:rsidR="002D40D8" w:rsidRPr="003E2514">
        <w:t xml:space="preserve"> the</w:t>
      </w:r>
      <w:r w:rsidR="000F6BB7" w:rsidRPr="003E2514">
        <w:t xml:space="preserve"> final version of the</w:t>
      </w:r>
      <w:r w:rsidR="002D40D8" w:rsidRPr="003E2514">
        <w:t xml:space="preserve"> bill</w:t>
      </w:r>
      <w:r w:rsidR="000F6BB7" w:rsidRPr="003E2514">
        <w:t>.</w:t>
      </w:r>
      <w:r w:rsidR="0062717C" w:rsidRPr="003E2514">
        <w:t xml:space="preserve"> </w:t>
      </w:r>
      <w:r w:rsidR="0020737B" w:rsidRPr="003E2514">
        <w:t>On 18 July 2017 t</w:t>
      </w:r>
      <w:r w:rsidR="0062717C" w:rsidRPr="003E2514">
        <w:t>he bill entered into force as</w:t>
      </w:r>
      <w:r w:rsidR="00D55CDF" w:rsidRPr="003E2514">
        <w:t xml:space="preserve"> Law No. 110 of 14 July 2017.</w:t>
      </w:r>
    </w:p>
    <w:p w:rsidR="00014566" w:rsidRPr="003E2514" w:rsidRDefault="00014566" w:rsidP="003E2514">
      <w:pPr>
        <w:pStyle w:val="ECHRTitle1"/>
      </w:pPr>
      <w:r w:rsidRPr="003E2514">
        <w:t>THE LAW</w:t>
      </w:r>
    </w:p>
    <w:p w:rsidR="002303C6" w:rsidRPr="003E2514" w:rsidRDefault="004C03BE" w:rsidP="003E2514">
      <w:pPr>
        <w:pStyle w:val="ECHRHeading1"/>
      </w:pPr>
      <w:bookmarkStart w:id="23" w:name="_Toc392772722"/>
      <w:r w:rsidRPr="003E2514">
        <w:t>I</w:t>
      </w:r>
      <w:r w:rsidR="002303C6" w:rsidRPr="003E2514">
        <w:t>.  </w:t>
      </w:r>
      <w:r w:rsidR="00A14774" w:rsidRPr="003E2514">
        <w:t>JOINDER OF THE CASES</w:t>
      </w:r>
      <w:bookmarkEnd w:id="23"/>
    </w:p>
    <w:p w:rsidR="002303C6" w:rsidRPr="003E2514" w:rsidRDefault="00487BB5"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60</w:t>
      </w:r>
      <w:r w:rsidRPr="003E2514">
        <w:fldChar w:fldCharType="end"/>
      </w:r>
      <w:r w:rsidRPr="003E2514">
        <w:t>.  </w:t>
      </w:r>
      <w:r w:rsidR="002303C6" w:rsidRPr="003E2514">
        <w:t>The Court considers that the applications should be joined, given their related factual and legal background (Rule 42 § 1 of the Rules of Court).</w:t>
      </w:r>
    </w:p>
    <w:p w:rsidR="006C0A4D" w:rsidRPr="003E2514" w:rsidRDefault="00014566" w:rsidP="003E2514">
      <w:pPr>
        <w:pStyle w:val="ECHRHeading1"/>
      </w:pPr>
      <w:r w:rsidRPr="003E2514">
        <w:t>I</w:t>
      </w:r>
      <w:r w:rsidR="004C03BE" w:rsidRPr="003E2514">
        <w:t>I</w:t>
      </w:r>
      <w:r w:rsidRPr="003E2514">
        <w:t>.</w:t>
      </w:r>
      <w:r w:rsidR="006D3D58" w:rsidRPr="003E2514">
        <w:t> </w:t>
      </w:r>
      <w:r w:rsidR="00605927" w:rsidRPr="003E2514">
        <w:t> </w:t>
      </w:r>
      <w:r w:rsidR="006C0A4D" w:rsidRPr="003E2514">
        <w:t>PRELIMINARY ISSUE</w:t>
      </w:r>
    </w:p>
    <w:p w:rsidR="006C0A4D" w:rsidRPr="003E2514" w:rsidRDefault="00DD1354"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61</w:t>
      </w:r>
      <w:r w:rsidRPr="003E2514">
        <w:fldChar w:fldCharType="end"/>
      </w:r>
      <w:r w:rsidRPr="003E2514">
        <w:t>.</w:t>
      </w:r>
      <w:r w:rsidR="00CC0F65" w:rsidRPr="003E2514">
        <w:t>  </w:t>
      </w:r>
      <w:r w:rsidR="00B332FB" w:rsidRPr="003E2514">
        <w:t xml:space="preserve">Following </w:t>
      </w:r>
      <w:r w:rsidR="00A748B0" w:rsidRPr="003E2514">
        <w:t xml:space="preserve">the second </w:t>
      </w:r>
      <w:r w:rsidR="00B332FB" w:rsidRPr="003E2514">
        <w:t>applicant</w:t>
      </w:r>
      <w:r w:rsidR="003E2514" w:rsidRPr="003E2514">
        <w:t>’</w:t>
      </w:r>
      <w:r w:rsidR="00B332FB" w:rsidRPr="003E2514">
        <w:t xml:space="preserve">s death on </w:t>
      </w:r>
      <w:r w:rsidR="00A55BF9" w:rsidRPr="003E2514">
        <w:t>10 January 2017</w:t>
      </w:r>
      <w:r w:rsidR="00B332FB" w:rsidRPr="003E2514">
        <w:t xml:space="preserve">, his </w:t>
      </w:r>
      <w:r w:rsidR="00E62D60" w:rsidRPr="003E2514">
        <w:t>daughter</w:t>
      </w:r>
      <w:r w:rsidR="00B332FB" w:rsidRPr="003E2514">
        <w:t>, M</w:t>
      </w:r>
      <w:r w:rsidR="00E62D60" w:rsidRPr="003E2514">
        <w:t>s</w:t>
      </w:r>
      <w:r w:rsidR="00B332FB" w:rsidRPr="003E2514">
        <w:t xml:space="preserve"> </w:t>
      </w:r>
      <w:r w:rsidR="00E62D60" w:rsidRPr="003E2514">
        <w:t xml:space="preserve">Gretel </w:t>
      </w:r>
      <w:proofErr w:type="spellStart"/>
      <w:r w:rsidR="00E62D60" w:rsidRPr="003E2514">
        <w:t>Renne</w:t>
      </w:r>
      <w:proofErr w:type="spellEnd"/>
      <w:r w:rsidR="00B332FB" w:rsidRPr="003E2514">
        <w:t xml:space="preserve">, informed the Court of </w:t>
      </w:r>
      <w:r w:rsidR="006C0F22" w:rsidRPr="003E2514">
        <w:t>her</w:t>
      </w:r>
      <w:r w:rsidR="00B332FB" w:rsidRPr="003E2514">
        <w:t xml:space="preserve"> wish to pursue the application in </w:t>
      </w:r>
      <w:r w:rsidR="00B56304" w:rsidRPr="003E2514">
        <w:t>her</w:t>
      </w:r>
      <w:r w:rsidR="00B332FB" w:rsidRPr="003E2514">
        <w:t xml:space="preserve"> father</w:t>
      </w:r>
      <w:r w:rsidR="003E2514" w:rsidRPr="003E2514">
        <w:t>’</w:t>
      </w:r>
      <w:r w:rsidR="00B332FB" w:rsidRPr="003E2514">
        <w:t>s stead (see paragraph 1 above).</w:t>
      </w:r>
    </w:p>
    <w:p w:rsidR="00DD1354" w:rsidRPr="003E2514" w:rsidRDefault="00DD1354"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62</w:t>
      </w:r>
      <w:r w:rsidRPr="003E2514">
        <w:fldChar w:fldCharType="end"/>
      </w:r>
      <w:r w:rsidRPr="003E2514">
        <w:t>.  </w:t>
      </w:r>
      <w:r w:rsidR="000B64B6" w:rsidRPr="003E2514">
        <w:t>In cases in which an applicant</w:t>
      </w:r>
      <w:r w:rsidR="005C747A" w:rsidRPr="003E2514">
        <w:t xml:space="preserve"> has</w:t>
      </w:r>
      <w:r w:rsidR="000B64B6" w:rsidRPr="003E2514">
        <w:t xml:space="preserve"> died after lodg</w:t>
      </w:r>
      <w:r w:rsidR="005C747A" w:rsidRPr="003E2514">
        <w:t>ing</w:t>
      </w:r>
      <w:r w:rsidR="000B64B6" w:rsidRPr="003E2514">
        <w:t xml:space="preserve"> an application, the Court has </w:t>
      </w:r>
      <w:r w:rsidR="00775A1C" w:rsidRPr="003E2514">
        <w:t xml:space="preserve">on </w:t>
      </w:r>
      <w:r w:rsidR="005C747A" w:rsidRPr="003E2514">
        <w:t>previous</w:t>
      </w:r>
      <w:r w:rsidR="00775A1C" w:rsidRPr="003E2514">
        <w:t xml:space="preserve"> occasions</w:t>
      </w:r>
      <w:r w:rsidR="005C747A" w:rsidRPr="003E2514">
        <w:t xml:space="preserve"> </w:t>
      </w:r>
      <w:r w:rsidR="000B64B6" w:rsidRPr="003E2514">
        <w:t xml:space="preserve">taken into account statements </w:t>
      </w:r>
      <w:r w:rsidR="005C747A" w:rsidRPr="003E2514">
        <w:t xml:space="preserve">made by </w:t>
      </w:r>
      <w:r w:rsidR="000B64B6" w:rsidRPr="003E2514">
        <w:t>the applicant</w:t>
      </w:r>
      <w:r w:rsidR="003E2514" w:rsidRPr="003E2514">
        <w:t>’</w:t>
      </w:r>
      <w:r w:rsidR="000B64B6" w:rsidRPr="003E2514">
        <w:t>s heirs or close family members expressing the</w:t>
      </w:r>
      <w:r w:rsidR="00341F90" w:rsidRPr="003E2514">
        <w:t>ir</w:t>
      </w:r>
      <w:r w:rsidR="000B64B6" w:rsidRPr="003E2514">
        <w:t xml:space="preserve"> wish to pursue the proceedings before the Court. For the Court</w:t>
      </w:r>
      <w:r w:rsidR="003E2514" w:rsidRPr="003E2514">
        <w:t>’</w:t>
      </w:r>
      <w:r w:rsidR="000B64B6" w:rsidRPr="003E2514">
        <w:t>s assessment of the person</w:t>
      </w:r>
      <w:r w:rsidR="003E2514" w:rsidRPr="003E2514">
        <w:t>’</w:t>
      </w:r>
      <w:r w:rsidR="000B64B6" w:rsidRPr="003E2514">
        <w:t xml:space="preserve">s standing to maintain the application on behalf of a deceased, what is important is not whether the rights at issue are transferable to the heirs but whether </w:t>
      </w:r>
      <w:r w:rsidR="00E04BAD" w:rsidRPr="003E2514">
        <w:t>the heirs could in principle claim a legitimate interest in requesting the Court to deal with the case on the basis of the applicant</w:t>
      </w:r>
      <w:r w:rsidR="003E2514" w:rsidRPr="003E2514">
        <w:t>’</w:t>
      </w:r>
      <w:r w:rsidR="00E04BAD" w:rsidRPr="003E2514">
        <w:t>s wish to exercise his or her individual and personal right to lodge an application with the Court</w:t>
      </w:r>
      <w:r w:rsidR="000B64B6" w:rsidRPr="003E2514">
        <w:t xml:space="preserve"> (see </w:t>
      </w:r>
      <w:proofErr w:type="spellStart"/>
      <w:r w:rsidR="000B64B6" w:rsidRPr="003E2514">
        <w:rPr>
          <w:i/>
        </w:rPr>
        <w:t>Ergezen</w:t>
      </w:r>
      <w:proofErr w:type="spellEnd"/>
      <w:r w:rsidR="000B64B6" w:rsidRPr="003E2514">
        <w:rPr>
          <w:i/>
        </w:rPr>
        <w:t xml:space="preserve"> v. Turkey</w:t>
      </w:r>
      <w:r w:rsidR="000B64B6" w:rsidRPr="003E2514">
        <w:t>, no. 73359/10, § 29, 8 April 2014). The</w:t>
      </w:r>
      <w:r w:rsidR="00E04BAD" w:rsidRPr="003E2514">
        <w:t xml:space="preserve"> </w:t>
      </w:r>
      <w:r w:rsidR="000B64B6" w:rsidRPr="003E2514">
        <w:t xml:space="preserve">Court has accepted that </w:t>
      </w:r>
      <w:r w:rsidR="005C747A" w:rsidRPr="003E2514">
        <w:t xml:space="preserve">a </w:t>
      </w:r>
      <w:r w:rsidR="000B64B6" w:rsidRPr="003E2514">
        <w:t>next</w:t>
      </w:r>
      <w:r w:rsidR="00AA10B4" w:rsidRPr="003E2514">
        <w:t xml:space="preserve"> </w:t>
      </w:r>
      <w:r w:rsidR="000B64B6" w:rsidRPr="003E2514">
        <w:t>of</w:t>
      </w:r>
      <w:r w:rsidR="00AA10B4" w:rsidRPr="003E2514">
        <w:t xml:space="preserve"> </w:t>
      </w:r>
      <w:r w:rsidR="000B64B6" w:rsidRPr="003E2514">
        <w:t xml:space="preserve">kin or </w:t>
      </w:r>
      <w:r w:rsidR="005C747A" w:rsidRPr="003E2514">
        <w:t xml:space="preserve">an </w:t>
      </w:r>
      <w:r w:rsidR="000B64B6" w:rsidRPr="003E2514">
        <w:t xml:space="preserve">heir may in principle pursue the </w:t>
      </w:r>
      <w:r w:rsidR="000B64B6" w:rsidRPr="003E2514">
        <w:lastRenderedPageBreak/>
        <w:t xml:space="preserve">application, provided that he or she has sufficient interest in the case (see </w:t>
      </w:r>
      <w:r w:rsidR="000B64B6" w:rsidRPr="003E2514">
        <w:rPr>
          <w:i/>
        </w:rPr>
        <w:t xml:space="preserve">Centre for Legal Resources on behalf of Valentin </w:t>
      </w:r>
      <w:proofErr w:type="spellStart"/>
      <w:r w:rsidR="000B64B6" w:rsidRPr="003E2514">
        <w:rPr>
          <w:i/>
        </w:rPr>
        <w:t>Câmpeanu</w:t>
      </w:r>
      <w:proofErr w:type="spellEnd"/>
      <w:r w:rsidR="000B64B6" w:rsidRPr="003E2514">
        <w:rPr>
          <w:i/>
        </w:rPr>
        <w:t xml:space="preserve"> v. Romania</w:t>
      </w:r>
      <w:r w:rsidR="000B64B6" w:rsidRPr="003E2514">
        <w:t xml:space="preserve"> [GC], no.</w:t>
      </w:r>
      <w:r w:rsidR="00B24E96" w:rsidRPr="003E2514">
        <w:t xml:space="preserve"> </w:t>
      </w:r>
      <w:r w:rsidR="000B64B6" w:rsidRPr="003E2514">
        <w:t xml:space="preserve">47848/08, § 97, ECHR 2014). In this connection, the Court reiterates that human rights cases before it generally have a moral dimension and persons </w:t>
      </w:r>
      <w:r w:rsidR="005C747A" w:rsidRPr="003E2514">
        <w:t xml:space="preserve">close </w:t>
      </w:r>
      <w:r w:rsidR="000B64B6" w:rsidRPr="003E2514">
        <w:t>to an applicant may thus have a legitimate interest in ensuring that justice is done, even after the applicant</w:t>
      </w:r>
      <w:r w:rsidR="003E2514" w:rsidRPr="003E2514">
        <w:t>’</w:t>
      </w:r>
      <w:r w:rsidR="000B64B6" w:rsidRPr="003E2514">
        <w:t xml:space="preserve">s death (see </w:t>
      </w:r>
      <w:proofErr w:type="spellStart"/>
      <w:r w:rsidR="009A24B6" w:rsidRPr="003E2514">
        <w:rPr>
          <w:i/>
        </w:rPr>
        <w:t>Malhous</w:t>
      </w:r>
      <w:proofErr w:type="spellEnd"/>
      <w:r w:rsidR="009A24B6" w:rsidRPr="003E2514">
        <w:rPr>
          <w:i/>
        </w:rPr>
        <w:t xml:space="preserve"> v. </w:t>
      </w:r>
      <w:r w:rsidR="000B64B6" w:rsidRPr="003E2514">
        <w:rPr>
          <w:i/>
        </w:rPr>
        <w:t>the Czech Republic</w:t>
      </w:r>
      <w:r w:rsidR="000B64B6" w:rsidRPr="003E2514">
        <w:t xml:space="preserve"> (</w:t>
      </w:r>
      <w:proofErr w:type="spellStart"/>
      <w:r w:rsidR="000B64B6" w:rsidRPr="003E2514">
        <w:t>dec.</w:t>
      </w:r>
      <w:proofErr w:type="spellEnd"/>
      <w:r w:rsidR="000B64B6" w:rsidRPr="003E2514">
        <w:t>) [GC], no. 33071/96, ECHR 2000</w:t>
      </w:r>
      <w:r w:rsidR="000B64B6" w:rsidRPr="003E2514">
        <w:noBreakHyphen/>
        <w:t>XII).</w:t>
      </w:r>
    </w:p>
    <w:p w:rsidR="00DD1354" w:rsidRPr="003E2514" w:rsidRDefault="00DD1354"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63</w:t>
      </w:r>
      <w:r w:rsidRPr="003E2514">
        <w:fldChar w:fldCharType="end"/>
      </w:r>
      <w:r w:rsidRPr="003E2514">
        <w:t>.  </w:t>
      </w:r>
      <w:r w:rsidR="00A748B0" w:rsidRPr="003E2514">
        <w:t>In view of the above</w:t>
      </w:r>
      <w:r w:rsidR="00AA10B4" w:rsidRPr="003E2514">
        <w:t>,</w:t>
      </w:r>
      <w:r w:rsidR="00A748B0" w:rsidRPr="003E2514">
        <w:t xml:space="preserve"> and </w:t>
      </w:r>
      <w:r w:rsidR="005C747A" w:rsidRPr="003E2514">
        <w:t>tak</w:t>
      </w:r>
      <w:r w:rsidR="00A748B0" w:rsidRPr="003E2514">
        <w:t xml:space="preserve">ing </w:t>
      </w:r>
      <w:r w:rsidR="005C747A" w:rsidRPr="003E2514">
        <w:t>into account</w:t>
      </w:r>
      <w:r w:rsidR="00A748B0" w:rsidRPr="003E2514">
        <w:t xml:space="preserve"> the circumstances of the present case, the Court accepts that </w:t>
      </w:r>
      <w:r w:rsidR="003B186B" w:rsidRPr="003E2514">
        <w:t>the</w:t>
      </w:r>
      <w:r w:rsidR="0081482D" w:rsidRPr="003E2514">
        <w:t xml:space="preserve"> second</w:t>
      </w:r>
      <w:r w:rsidR="003B186B" w:rsidRPr="003E2514">
        <w:t xml:space="preserve"> applicant</w:t>
      </w:r>
      <w:r w:rsidR="003E2514" w:rsidRPr="003E2514">
        <w:t>’</w:t>
      </w:r>
      <w:r w:rsidR="003B186B" w:rsidRPr="003E2514">
        <w:t>s daughter</w:t>
      </w:r>
      <w:r w:rsidR="00A748B0" w:rsidRPr="003E2514">
        <w:t xml:space="preserve"> has a legitimate interest in pursuing the application. It</w:t>
      </w:r>
      <w:r w:rsidR="00A04ACB" w:rsidRPr="003E2514">
        <w:t> </w:t>
      </w:r>
      <w:r w:rsidR="00A748B0" w:rsidRPr="003E2514">
        <w:t>will therefore</w:t>
      </w:r>
      <w:r w:rsidR="005C747A" w:rsidRPr="003E2514">
        <w:t xml:space="preserve"> </w:t>
      </w:r>
      <w:r w:rsidR="005C747A" w:rsidRPr="003E2514">
        <w:rPr>
          <w:rFonts w:cstheme="minorHAnsi"/>
        </w:rPr>
        <w:t>–</w:t>
      </w:r>
      <w:r w:rsidR="00A748B0" w:rsidRPr="003E2514">
        <w:t xml:space="preserve"> </w:t>
      </w:r>
      <w:r w:rsidR="005C747A" w:rsidRPr="003E2514">
        <w:t xml:space="preserve">at her request </w:t>
      </w:r>
      <w:r w:rsidR="005C747A" w:rsidRPr="003E2514">
        <w:rPr>
          <w:rFonts w:cstheme="minorHAnsi"/>
        </w:rPr>
        <w:t>–</w:t>
      </w:r>
      <w:r w:rsidR="005C747A" w:rsidRPr="003E2514">
        <w:t xml:space="preserve"> </w:t>
      </w:r>
      <w:r w:rsidR="00A748B0" w:rsidRPr="003E2514">
        <w:t>continue dealing with the case. For</w:t>
      </w:r>
      <w:r w:rsidR="006110CB" w:rsidRPr="003E2514">
        <w:t> </w:t>
      </w:r>
      <w:r w:rsidR="00A748B0" w:rsidRPr="003E2514">
        <w:t xml:space="preserve">convenience, it will, however, continue to refer to Mr </w:t>
      </w:r>
      <w:proofErr w:type="spellStart"/>
      <w:r w:rsidR="00A748B0" w:rsidRPr="003E2514">
        <w:t>Renne</w:t>
      </w:r>
      <w:proofErr w:type="spellEnd"/>
      <w:r w:rsidR="00A748B0" w:rsidRPr="003E2514">
        <w:t xml:space="preserve"> as the second applicant in the present judgment.</w:t>
      </w:r>
    </w:p>
    <w:p w:rsidR="00014566" w:rsidRPr="003E2514" w:rsidRDefault="00677C2F" w:rsidP="003E2514">
      <w:pPr>
        <w:pStyle w:val="ECHRHeading1"/>
      </w:pPr>
      <w:r w:rsidRPr="003E2514">
        <w:t>III.</w:t>
      </w:r>
      <w:r w:rsidR="00814422" w:rsidRPr="003E2514">
        <w:t>  </w:t>
      </w:r>
      <w:r w:rsidR="006D3D58" w:rsidRPr="003E2514">
        <w:t>ALLEGED</w:t>
      </w:r>
      <w:r w:rsidR="00014566" w:rsidRPr="003E2514">
        <w:t xml:space="preserve"> VIOLATION OF ARTICLE </w:t>
      </w:r>
      <w:r w:rsidR="00A3106A" w:rsidRPr="003E2514">
        <w:t>3</w:t>
      </w:r>
      <w:r w:rsidR="00014566" w:rsidRPr="003E2514">
        <w:t xml:space="preserve"> OF THE CONVENTION</w:t>
      </w:r>
      <w:r w:rsidR="00A3106A" w:rsidRPr="003E2514">
        <w:t xml:space="preserve"> IN ITS SUBSTANTIVE ASPECT</w:t>
      </w:r>
    </w:p>
    <w:p w:rsidR="00905C60" w:rsidRPr="003E2514" w:rsidRDefault="0023618D"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64</w:t>
      </w:r>
      <w:r w:rsidRPr="003E2514">
        <w:fldChar w:fldCharType="end"/>
      </w:r>
      <w:r w:rsidR="00814422" w:rsidRPr="003E2514">
        <w:t>.  </w:t>
      </w:r>
      <w:r w:rsidR="00905C60" w:rsidRPr="003E2514">
        <w:t>The applicants submitted that during the</w:t>
      </w:r>
      <w:r w:rsidR="00793C5D" w:rsidRPr="003E2514">
        <w:t>ir detention in the Asti Correctional facility in December 2004</w:t>
      </w:r>
      <w:r w:rsidR="00905C60" w:rsidRPr="003E2514">
        <w:t xml:space="preserve">, </w:t>
      </w:r>
      <w:r w:rsidR="00793C5D" w:rsidRPr="003E2514">
        <w:t>they</w:t>
      </w:r>
      <w:r w:rsidR="00905C60" w:rsidRPr="003E2514">
        <w:t xml:space="preserve"> had suffered acts of violence and ill-treatment which they considered as amounting to torture. They relied on Article 3 of the Convention, which provides:</w:t>
      </w:r>
    </w:p>
    <w:p w:rsidR="00014566" w:rsidRPr="003E2514" w:rsidRDefault="0069081D" w:rsidP="003E2514">
      <w:pPr>
        <w:pStyle w:val="ECHRParaQuote"/>
      </w:pPr>
      <w:r w:rsidRPr="003E2514">
        <w:t>“No one shall be subjected to torture or to inhuman or degrading treatment or punishment.”</w:t>
      </w:r>
    </w:p>
    <w:p w:rsidR="00014566" w:rsidRPr="003E2514" w:rsidRDefault="00014566" w:rsidP="003E2514">
      <w:pPr>
        <w:pStyle w:val="ECHRHeading2"/>
      </w:pPr>
      <w:r w:rsidRPr="003E2514">
        <w:t>A.  Admissibility</w:t>
      </w:r>
    </w:p>
    <w:p w:rsidR="002E231A" w:rsidRPr="003E2514" w:rsidRDefault="00A669A5" w:rsidP="003E2514">
      <w:pPr>
        <w:pStyle w:val="ECHRPara"/>
        <w:rPr>
          <w:rFonts w:ascii="Times New Roman" w:hAnsi="Times New Roman" w:cs="Times New Roman"/>
          <w:szCs w:val="24"/>
        </w:rPr>
      </w:pPr>
      <w:r w:rsidRPr="003E2514">
        <w:rPr>
          <w:rFonts w:ascii="Times New Roman" w:hAnsi="Times New Roman" w:cs="Times New Roman"/>
          <w:szCs w:val="24"/>
        </w:rPr>
        <w:fldChar w:fldCharType="begin"/>
      </w:r>
      <w:r w:rsidRPr="003E2514">
        <w:rPr>
          <w:rFonts w:ascii="Times New Roman" w:hAnsi="Times New Roman" w:cs="Times New Roman"/>
          <w:szCs w:val="24"/>
        </w:rPr>
        <w:instrText xml:space="preserve"> SEQ level0 \*arabic </w:instrText>
      </w:r>
      <w:r w:rsidRPr="003E2514">
        <w:rPr>
          <w:rFonts w:ascii="Times New Roman" w:hAnsi="Times New Roman" w:cs="Times New Roman"/>
          <w:szCs w:val="24"/>
        </w:rPr>
        <w:fldChar w:fldCharType="separate"/>
      </w:r>
      <w:r w:rsidR="003E2514" w:rsidRPr="003E2514">
        <w:rPr>
          <w:rFonts w:ascii="Times New Roman" w:hAnsi="Times New Roman" w:cs="Times New Roman"/>
          <w:noProof/>
          <w:szCs w:val="24"/>
        </w:rPr>
        <w:t>65</w:t>
      </w:r>
      <w:r w:rsidRPr="003E2514">
        <w:rPr>
          <w:rFonts w:ascii="Times New Roman" w:hAnsi="Times New Roman" w:cs="Times New Roman"/>
          <w:szCs w:val="24"/>
        </w:rPr>
        <w:fldChar w:fldCharType="end"/>
      </w:r>
      <w:r w:rsidRPr="003E2514">
        <w:rPr>
          <w:rFonts w:ascii="Times New Roman" w:hAnsi="Times New Roman" w:cs="Times New Roman"/>
          <w:szCs w:val="24"/>
        </w:rPr>
        <w:t>.  </w:t>
      </w:r>
      <w:r w:rsidR="000336BC" w:rsidRPr="003E2514">
        <w:rPr>
          <w:rFonts w:ascii="Times New Roman" w:hAnsi="Times New Roman" w:cs="Times New Roman"/>
          <w:szCs w:val="24"/>
        </w:rPr>
        <w:t>The Court notes that this complaint is not manifestly ill-founded within the meaning of Article 35 § 3 (a) of the Convention. It further notes that it is not inadmissible on any other grounds. It must therefore be declared admissible.</w:t>
      </w:r>
    </w:p>
    <w:p w:rsidR="00014566" w:rsidRPr="003E2514" w:rsidRDefault="00014566" w:rsidP="003E2514">
      <w:pPr>
        <w:pStyle w:val="ECHRHeading2"/>
      </w:pPr>
      <w:r w:rsidRPr="003E2514">
        <w:t>B.  Merits</w:t>
      </w:r>
    </w:p>
    <w:p w:rsidR="00445D54" w:rsidRPr="003E2514" w:rsidRDefault="006110CB" w:rsidP="003E2514">
      <w:pPr>
        <w:pStyle w:val="ECHRHeading3"/>
      </w:pPr>
      <w:r w:rsidRPr="003E2514">
        <w:t>1.  </w:t>
      </w:r>
      <w:r w:rsidR="00445D54" w:rsidRPr="003E2514">
        <w:t>The parties</w:t>
      </w:r>
      <w:r w:rsidR="003E2514" w:rsidRPr="003E2514">
        <w:t>’</w:t>
      </w:r>
      <w:r w:rsidR="00445D54" w:rsidRPr="003E2514">
        <w:t xml:space="preserve"> submissions</w:t>
      </w:r>
    </w:p>
    <w:p w:rsidR="00DF67B0" w:rsidRPr="003E2514" w:rsidRDefault="00814422" w:rsidP="003E2514">
      <w:pPr>
        <w:pStyle w:val="ECHRHeading4"/>
      </w:pPr>
      <w:r w:rsidRPr="003E2514">
        <w:t>(a)  </w:t>
      </w:r>
      <w:r w:rsidR="00DF67B0" w:rsidRPr="003E2514">
        <w:t>The applicants</w:t>
      </w:r>
    </w:p>
    <w:p w:rsidR="00986D96" w:rsidRPr="003E2514" w:rsidRDefault="006C0A2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66</w:t>
      </w:r>
      <w:r w:rsidRPr="003E2514">
        <w:fldChar w:fldCharType="end"/>
      </w:r>
      <w:r w:rsidR="00014566" w:rsidRPr="003E2514">
        <w:t>.  The applicant</w:t>
      </w:r>
      <w:r w:rsidRPr="003E2514">
        <w:t>s</w:t>
      </w:r>
      <w:r w:rsidR="00014566" w:rsidRPr="003E2514">
        <w:t xml:space="preserve"> </w:t>
      </w:r>
      <w:r w:rsidR="00D60293" w:rsidRPr="003E2514">
        <w:t xml:space="preserve">complained that </w:t>
      </w:r>
      <w:r w:rsidR="008400C0" w:rsidRPr="003E2514">
        <w:t>they</w:t>
      </w:r>
      <w:r w:rsidR="00D60293" w:rsidRPr="003E2514">
        <w:t xml:space="preserve"> had been subjected to various forms of ill-treatment</w:t>
      </w:r>
      <w:r w:rsidR="00195F30" w:rsidRPr="003E2514">
        <w:t xml:space="preserve"> during their detention</w:t>
      </w:r>
      <w:r w:rsidR="00757512" w:rsidRPr="003E2514">
        <w:t xml:space="preserve"> in the </w:t>
      </w:r>
      <w:r w:rsidR="000E62D6" w:rsidRPr="003E2514">
        <w:t>Asti correctional facility in December 2004</w:t>
      </w:r>
      <w:r w:rsidR="00D60293" w:rsidRPr="003E2514">
        <w:t>.</w:t>
      </w:r>
    </w:p>
    <w:p w:rsidR="00986D96"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67</w:t>
      </w:r>
      <w:r w:rsidRPr="003E2514">
        <w:rPr>
          <w:noProof/>
        </w:rPr>
        <w:fldChar w:fldCharType="end"/>
      </w:r>
      <w:r w:rsidR="004F49C4" w:rsidRPr="003E2514">
        <w:t>.  </w:t>
      </w:r>
      <w:r w:rsidR="00804331" w:rsidRPr="003E2514">
        <w:t>T</w:t>
      </w:r>
      <w:r w:rsidR="004F49C4" w:rsidRPr="003E2514">
        <w:t>he first applicant</w:t>
      </w:r>
      <w:r w:rsidR="00804331" w:rsidRPr="003E2514">
        <w:t xml:space="preserve"> reiterated </w:t>
      </w:r>
      <w:r w:rsidR="0026317D" w:rsidRPr="003E2514">
        <w:t xml:space="preserve">the assertion </w:t>
      </w:r>
      <w:r w:rsidR="00804331" w:rsidRPr="003E2514">
        <w:t xml:space="preserve">that he </w:t>
      </w:r>
      <w:r w:rsidR="006D7782" w:rsidRPr="003E2514">
        <w:t xml:space="preserve">had been </w:t>
      </w:r>
      <w:r w:rsidR="00804331" w:rsidRPr="003E2514">
        <w:t xml:space="preserve">kept in solitary confinement for more than twenty days, </w:t>
      </w:r>
      <w:r w:rsidR="006D7782" w:rsidRPr="003E2514">
        <w:t xml:space="preserve">had been </w:t>
      </w:r>
      <w:r w:rsidR="00804331" w:rsidRPr="003E2514">
        <w:t>stripped of his clothes and detained in a cell with no window panes</w:t>
      </w:r>
      <w:r w:rsidR="00B05B6D" w:rsidRPr="003E2514">
        <w:t xml:space="preserve"> in </w:t>
      </w:r>
      <w:r w:rsidR="00F8587C" w:rsidRPr="003E2514">
        <w:t>winter</w:t>
      </w:r>
      <w:r w:rsidR="00604659" w:rsidRPr="003E2514">
        <w:t xml:space="preserve">, in Northern </w:t>
      </w:r>
      <w:r w:rsidR="00604659" w:rsidRPr="003E2514">
        <w:lastRenderedPageBreak/>
        <w:t>Italy</w:t>
      </w:r>
      <w:r w:rsidR="00B05B6D" w:rsidRPr="003E2514">
        <w:t>, and that the</w:t>
      </w:r>
      <w:r w:rsidR="006D7782" w:rsidRPr="003E2514">
        <w:t xml:space="preserve">re had been </w:t>
      </w:r>
      <w:r w:rsidR="00B05B6D" w:rsidRPr="003E2514">
        <w:t>no</w:t>
      </w:r>
      <w:r w:rsidR="00804331" w:rsidRPr="003E2514">
        <w:t xml:space="preserve"> sink</w:t>
      </w:r>
      <w:r w:rsidR="00B05B6D" w:rsidRPr="003E2514">
        <w:t xml:space="preserve"> and </w:t>
      </w:r>
      <w:r w:rsidR="006D7782" w:rsidRPr="003E2514">
        <w:t xml:space="preserve">neither </w:t>
      </w:r>
      <w:r w:rsidR="00B05B6D" w:rsidRPr="003E2514">
        <w:t xml:space="preserve">covers </w:t>
      </w:r>
      <w:r w:rsidR="006D7782" w:rsidRPr="003E2514">
        <w:t>n</w:t>
      </w:r>
      <w:r w:rsidR="00B05B6D" w:rsidRPr="003E2514">
        <w:t>or a mattress on the bed.</w:t>
      </w:r>
      <w:r w:rsidR="00B64132" w:rsidRPr="003E2514">
        <w:t xml:space="preserve"> He further stated</w:t>
      </w:r>
      <w:r w:rsidR="00CD3670" w:rsidRPr="003E2514">
        <w:t xml:space="preserve"> that he had been subjected to sleep</w:t>
      </w:r>
      <w:r w:rsidR="008622A6" w:rsidRPr="003E2514">
        <w:t>, food and water</w:t>
      </w:r>
      <w:r w:rsidR="00CD3670" w:rsidRPr="003E2514">
        <w:t xml:space="preserve"> deprivation </w:t>
      </w:r>
      <w:r w:rsidR="000B4ACE" w:rsidRPr="003E2514">
        <w:t>as well as physical violence and verbal abuse.</w:t>
      </w:r>
    </w:p>
    <w:p w:rsidR="00B065F6"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68</w:t>
      </w:r>
      <w:r w:rsidRPr="003E2514">
        <w:rPr>
          <w:noProof/>
        </w:rPr>
        <w:fldChar w:fldCharType="end"/>
      </w:r>
      <w:r w:rsidR="00E70D8D" w:rsidRPr="003E2514">
        <w:t>.  </w:t>
      </w:r>
      <w:r w:rsidR="0082020C" w:rsidRPr="003E2514">
        <w:t xml:space="preserve">He argued </w:t>
      </w:r>
      <w:r w:rsidR="004D4CB8" w:rsidRPr="003E2514">
        <w:t xml:space="preserve">that </w:t>
      </w:r>
      <w:r w:rsidR="00630228" w:rsidRPr="003E2514">
        <w:t xml:space="preserve">the intention underlying the treatment was to punish and </w:t>
      </w:r>
      <w:r w:rsidR="00987153" w:rsidRPr="003E2514">
        <w:t>intimidate</w:t>
      </w:r>
      <w:r w:rsidR="00630228" w:rsidRPr="003E2514">
        <w:t xml:space="preserve"> him,</w:t>
      </w:r>
      <w:r w:rsidR="006A1568" w:rsidRPr="003E2514">
        <w:t xml:space="preserve"> as the treatment went well beyond security needs</w:t>
      </w:r>
      <w:r w:rsidR="00987153" w:rsidRPr="003E2514">
        <w:t>. This latter point was reinforced, in the first applicant</w:t>
      </w:r>
      <w:r w:rsidR="003E2514" w:rsidRPr="003E2514">
        <w:t>’</w:t>
      </w:r>
      <w:r w:rsidR="00987153" w:rsidRPr="003E2514">
        <w:t xml:space="preserve">s view, </w:t>
      </w:r>
      <w:r w:rsidR="001E2A9B" w:rsidRPr="003E2514">
        <w:t xml:space="preserve">as </w:t>
      </w:r>
      <w:r w:rsidR="00987153" w:rsidRPr="003E2514">
        <w:t>the treatment</w:t>
      </w:r>
      <w:r w:rsidR="001E2A9B" w:rsidRPr="003E2514">
        <w:t xml:space="preserve"> was carried </w:t>
      </w:r>
      <w:r w:rsidR="0079124A" w:rsidRPr="003E2514">
        <w:t xml:space="preserve">out against a background of </w:t>
      </w:r>
      <w:r w:rsidR="006D7782" w:rsidRPr="003E2514">
        <w:t xml:space="preserve">systemic </w:t>
      </w:r>
      <w:r w:rsidR="0079124A" w:rsidRPr="003E2514">
        <w:t>ill-treatment existing in the correctional facility</w:t>
      </w:r>
      <w:r w:rsidR="00987153" w:rsidRPr="003E2514">
        <w:t xml:space="preserve">, whereby detainees would be subjected to various forms of ill-treatment </w:t>
      </w:r>
      <w:r w:rsidR="00B377F1" w:rsidRPr="003E2514">
        <w:t xml:space="preserve">that prison authorities and staff knew about but </w:t>
      </w:r>
      <w:r w:rsidR="006D7782" w:rsidRPr="003E2514">
        <w:t xml:space="preserve">about </w:t>
      </w:r>
      <w:r w:rsidR="00BE7A17" w:rsidRPr="003E2514">
        <w:t xml:space="preserve">which they </w:t>
      </w:r>
      <w:r w:rsidR="007F33CC" w:rsidRPr="003E2514">
        <w:t>remained in</w:t>
      </w:r>
      <w:r w:rsidR="004B64D5" w:rsidRPr="003E2514">
        <w:t>diff</w:t>
      </w:r>
      <w:r w:rsidR="007F33CC" w:rsidRPr="003E2514">
        <w:t>er</w:t>
      </w:r>
      <w:r w:rsidR="004B64D5" w:rsidRPr="003E2514">
        <w:t>en</w:t>
      </w:r>
      <w:r w:rsidR="007F33CC" w:rsidRPr="003E2514">
        <w:t>t</w:t>
      </w:r>
      <w:r w:rsidR="0079124A" w:rsidRPr="003E2514">
        <w:t>.</w:t>
      </w:r>
    </w:p>
    <w:p w:rsidR="00B065F6"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69</w:t>
      </w:r>
      <w:r w:rsidRPr="003E2514">
        <w:rPr>
          <w:noProof/>
        </w:rPr>
        <w:fldChar w:fldCharType="end"/>
      </w:r>
      <w:r w:rsidR="00C652F9" w:rsidRPr="003E2514">
        <w:t>.  </w:t>
      </w:r>
      <w:r w:rsidR="008622A6" w:rsidRPr="003E2514">
        <w:t>Furthermore, he submitted</w:t>
      </w:r>
      <w:r w:rsidR="0031533E" w:rsidRPr="003E2514">
        <w:t xml:space="preserve"> </w:t>
      </w:r>
      <w:r w:rsidR="00BA66D4" w:rsidRPr="003E2514">
        <w:t xml:space="preserve">that even though </w:t>
      </w:r>
      <w:r w:rsidR="00101487" w:rsidRPr="003E2514">
        <w:t xml:space="preserve">many </w:t>
      </w:r>
      <w:r w:rsidR="00BA66D4" w:rsidRPr="003E2514">
        <w:t xml:space="preserve">years </w:t>
      </w:r>
      <w:r w:rsidR="004B64D5" w:rsidRPr="003E2514">
        <w:t xml:space="preserve">had </w:t>
      </w:r>
      <w:r w:rsidR="00BA66D4" w:rsidRPr="003E2514">
        <w:t xml:space="preserve">elapsed </w:t>
      </w:r>
      <w:r w:rsidR="006D7782" w:rsidRPr="003E2514">
        <w:t xml:space="preserve">since </w:t>
      </w:r>
      <w:r w:rsidR="00BA66D4" w:rsidRPr="003E2514">
        <w:t>the impugned events</w:t>
      </w:r>
      <w:r w:rsidR="006D7782" w:rsidRPr="003E2514">
        <w:t>,</w:t>
      </w:r>
      <w:r w:rsidR="00BA66D4" w:rsidRPr="003E2514">
        <w:t xml:space="preserve"> </w:t>
      </w:r>
      <w:r w:rsidR="00757D12" w:rsidRPr="003E2514">
        <w:t>he still suffer</w:t>
      </w:r>
      <w:r w:rsidR="004B64D5" w:rsidRPr="003E2514">
        <w:t>ed</w:t>
      </w:r>
      <w:r w:rsidR="00757D12" w:rsidRPr="003E2514">
        <w:t xml:space="preserve"> from anxiety and depression and ha</w:t>
      </w:r>
      <w:r w:rsidR="004B64D5" w:rsidRPr="003E2514">
        <w:t>d</w:t>
      </w:r>
      <w:r w:rsidR="00757D12" w:rsidRPr="003E2514">
        <w:t xml:space="preserve"> to take medication.</w:t>
      </w:r>
    </w:p>
    <w:p w:rsidR="00986D96"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70</w:t>
      </w:r>
      <w:r w:rsidRPr="003E2514">
        <w:rPr>
          <w:noProof/>
        </w:rPr>
        <w:fldChar w:fldCharType="end"/>
      </w:r>
      <w:r w:rsidR="0063688C" w:rsidRPr="003E2514">
        <w:t>.  </w:t>
      </w:r>
      <w:r w:rsidR="009C4BF8" w:rsidRPr="003E2514">
        <w:t>The second applicant, d</w:t>
      </w:r>
      <w:r w:rsidR="002469D8" w:rsidRPr="003E2514">
        <w:t xml:space="preserve">rawing on the reconstruction of events set out in the first-instance decision, </w:t>
      </w:r>
      <w:r w:rsidR="00EA0983" w:rsidRPr="003E2514">
        <w:t>described the ill-</w:t>
      </w:r>
      <w:r w:rsidR="000314C3" w:rsidRPr="003E2514">
        <w:t xml:space="preserve">treatment inflicted on him, which </w:t>
      </w:r>
      <w:r w:rsidR="004B64D5" w:rsidRPr="003E2514">
        <w:t>consist</w:t>
      </w:r>
      <w:r w:rsidR="000314C3" w:rsidRPr="003E2514">
        <w:t>ed</w:t>
      </w:r>
      <w:r w:rsidR="00FB0AA3" w:rsidRPr="003E2514">
        <w:t xml:space="preserve"> </w:t>
      </w:r>
      <w:r w:rsidR="004B64D5" w:rsidRPr="003E2514">
        <w:t xml:space="preserve">of </w:t>
      </w:r>
      <w:r w:rsidR="000314C3" w:rsidRPr="003E2514">
        <w:t>repeated physical violence</w:t>
      </w:r>
      <w:r w:rsidR="00FB0AA3" w:rsidRPr="003E2514">
        <w:t>, including beatings and his hair being ripped out, as well as detention in a solitary confinement cell without cloth</w:t>
      </w:r>
      <w:r w:rsidR="004B64D5" w:rsidRPr="003E2514">
        <w:t>ing</w:t>
      </w:r>
      <w:r w:rsidR="00FB0AA3" w:rsidRPr="003E2514">
        <w:t xml:space="preserve"> </w:t>
      </w:r>
      <w:r w:rsidR="003D3A06" w:rsidRPr="003E2514">
        <w:t xml:space="preserve">for a number of days </w:t>
      </w:r>
      <w:r w:rsidR="00FB0AA3" w:rsidRPr="003E2514">
        <w:t xml:space="preserve">and </w:t>
      </w:r>
      <w:r w:rsidR="003D3A06" w:rsidRPr="003E2514">
        <w:t>with his food being rationed.</w:t>
      </w:r>
    </w:p>
    <w:p w:rsidR="00986D96" w:rsidRPr="003E2514" w:rsidRDefault="00B5558A"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71</w:t>
      </w:r>
      <w:r w:rsidRPr="003E2514">
        <w:fldChar w:fldCharType="end"/>
      </w:r>
      <w:r w:rsidRPr="003E2514">
        <w:t>.  </w:t>
      </w:r>
      <w:r w:rsidR="00EA0983" w:rsidRPr="003E2514">
        <w:t xml:space="preserve">As to the legal classification of the treatment, </w:t>
      </w:r>
      <w:r w:rsidR="00282423" w:rsidRPr="003E2514">
        <w:t>both</w:t>
      </w:r>
      <w:r w:rsidRPr="003E2514">
        <w:t xml:space="preserve"> applicants </w:t>
      </w:r>
      <w:r w:rsidR="009A4D37" w:rsidRPr="003E2514">
        <w:t xml:space="preserve">reiterated </w:t>
      </w:r>
      <w:r w:rsidRPr="003E2514">
        <w:t>that they had suffered acts of torture within the meaning of Article 3 of the Convention.</w:t>
      </w:r>
    </w:p>
    <w:p w:rsidR="00DF67B0" w:rsidRPr="003E2514" w:rsidRDefault="00814422" w:rsidP="003E2514">
      <w:pPr>
        <w:pStyle w:val="ECHRHeading4"/>
      </w:pPr>
      <w:r w:rsidRPr="003E2514">
        <w:t>(b)  </w:t>
      </w:r>
      <w:r w:rsidR="00DF67B0" w:rsidRPr="003E2514">
        <w:t>The Government</w:t>
      </w:r>
    </w:p>
    <w:p w:rsidR="003058EB" w:rsidRPr="003E2514" w:rsidRDefault="006C0A2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72</w:t>
      </w:r>
      <w:r w:rsidRPr="003E2514">
        <w:fldChar w:fldCharType="end"/>
      </w:r>
      <w:r w:rsidR="000E2AB6" w:rsidRPr="003E2514">
        <w:t xml:space="preserve">.  The Government </w:t>
      </w:r>
      <w:r w:rsidR="00F7482B" w:rsidRPr="003E2514">
        <w:t>did not submit specific observations</w:t>
      </w:r>
      <w:r w:rsidR="0045358F" w:rsidRPr="003E2514">
        <w:t xml:space="preserve"> on the substantive aspect of the complaint under Article 3.</w:t>
      </w:r>
    </w:p>
    <w:p w:rsidR="00986D96" w:rsidRPr="003E2514" w:rsidRDefault="00814422" w:rsidP="003E2514">
      <w:pPr>
        <w:pStyle w:val="ECHRHeading3"/>
      </w:pPr>
      <w:r w:rsidRPr="003E2514">
        <w:t>2.  </w:t>
      </w:r>
      <w:r w:rsidR="00445D54" w:rsidRPr="003E2514">
        <w:t>The Court</w:t>
      </w:r>
      <w:r w:rsidR="003E2514" w:rsidRPr="003E2514">
        <w:t>’</w:t>
      </w:r>
      <w:r w:rsidR="00445D54" w:rsidRPr="003E2514">
        <w:t>s assessment</w:t>
      </w:r>
    </w:p>
    <w:p w:rsidR="00986D96" w:rsidRPr="003E2514" w:rsidRDefault="00814422" w:rsidP="003E2514">
      <w:pPr>
        <w:pStyle w:val="ECHRHeading4"/>
      </w:pPr>
      <w:r w:rsidRPr="003E2514">
        <w:t>(</w:t>
      </w:r>
      <w:r w:rsidR="007834B3" w:rsidRPr="003E2514">
        <w:t>a)  </w:t>
      </w:r>
      <w:r w:rsidR="00702EE8" w:rsidRPr="003E2514">
        <w:t>General principles</w:t>
      </w:r>
    </w:p>
    <w:bookmarkStart w:id="24" w:name="Substantive_PRINCIPLES_end"/>
    <w:p w:rsidR="00986D96" w:rsidRPr="003E2514" w:rsidRDefault="00860721"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73</w:t>
      </w:r>
      <w:r w:rsidRPr="003E2514">
        <w:rPr>
          <w:noProof/>
        </w:rPr>
        <w:fldChar w:fldCharType="end"/>
      </w:r>
      <w:bookmarkEnd w:id="24"/>
      <w:r w:rsidR="008E09EA" w:rsidRPr="003E2514">
        <w:t>.  </w:t>
      </w:r>
      <w:r w:rsidR="00E32AD9" w:rsidRPr="003E2514">
        <w:t>The Court refers to the general principles</w:t>
      </w:r>
      <w:r w:rsidR="0072133A" w:rsidRPr="003E2514">
        <w:t xml:space="preserve"> concerning the substantive </w:t>
      </w:r>
      <w:r w:rsidR="005F1821" w:rsidRPr="003E2514">
        <w:t>limb</w:t>
      </w:r>
      <w:r w:rsidR="0072133A" w:rsidRPr="003E2514">
        <w:t xml:space="preserve"> of Article 3 as </w:t>
      </w:r>
      <w:r w:rsidR="00E32AD9" w:rsidRPr="003E2514">
        <w:t xml:space="preserve">set out in </w:t>
      </w:r>
      <w:proofErr w:type="spellStart"/>
      <w:r w:rsidR="00E32AD9" w:rsidRPr="003E2514">
        <w:rPr>
          <w:i/>
        </w:rPr>
        <w:t>Bouyid</w:t>
      </w:r>
      <w:proofErr w:type="spellEnd"/>
      <w:r w:rsidR="00E32AD9" w:rsidRPr="003E2514">
        <w:rPr>
          <w:i/>
        </w:rPr>
        <w:t xml:space="preserve"> v. Belgium </w:t>
      </w:r>
      <w:r w:rsidR="00E32AD9" w:rsidRPr="003E2514">
        <w:t>[GC], no. 23380/09, §</w:t>
      </w:r>
      <w:r w:rsidR="000772FD" w:rsidRPr="003E2514">
        <w:t> </w:t>
      </w:r>
      <w:r w:rsidR="00E32AD9" w:rsidRPr="003E2514">
        <w:t>81</w:t>
      </w:r>
      <w:r w:rsidR="00DC0A81" w:rsidRPr="003E2514">
        <w:noBreakHyphen/>
      </w:r>
      <w:r w:rsidR="00E32AD9" w:rsidRPr="003E2514">
        <w:t>90, ECHR 2015</w:t>
      </w:r>
      <w:r w:rsidR="00770453" w:rsidRPr="003E2514">
        <w:t xml:space="preserve"> and</w:t>
      </w:r>
      <w:r w:rsidR="00183C2B" w:rsidRPr="003E2514">
        <w:t>, recently,</w:t>
      </w:r>
      <w:r w:rsidR="00567CF3" w:rsidRPr="003E2514">
        <w:t xml:space="preserve"> </w:t>
      </w:r>
      <w:r w:rsidR="00183C2B" w:rsidRPr="003E2514">
        <w:t>in</w:t>
      </w:r>
      <w:r w:rsidR="002F5204" w:rsidRPr="003E2514">
        <w:t xml:space="preserve"> </w:t>
      </w:r>
      <w:proofErr w:type="spellStart"/>
      <w:r w:rsidR="002F5204" w:rsidRPr="003E2514">
        <w:rPr>
          <w:i/>
        </w:rPr>
        <w:t>Bartesaghi</w:t>
      </w:r>
      <w:proofErr w:type="spellEnd"/>
      <w:r w:rsidR="002F5204" w:rsidRPr="003E2514">
        <w:rPr>
          <w:i/>
        </w:rPr>
        <w:t xml:space="preserve"> Gallo and Others v. Italy</w:t>
      </w:r>
      <w:r w:rsidR="002F5204" w:rsidRPr="003E2514">
        <w:t>, nos.</w:t>
      </w:r>
      <w:r w:rsidR="00B24E96" w:rsidRPr="003E2514">
        <w:t> </w:t>
      </w:r>
      <w:r w:rsidR="002F5204" w:rsidRPr="003E2514">
        <w:t xml:space="preserve">12131/13 and 43390/13, § </w:t>
      </w:r>
      <w:r w:rsidR="001D5191" w:rsidRPr="003E2514">
        <w:t>111-113</w:t>
      </w:r>
      <w:r w:rsidR="002F5204" w:rsidRPr="003E2514">
        <w:t>, 22 June 2017</w:t>
      </w:r>
      <w:r w:rsidR="00BC06E4" w:rsidRPr="003E2514">
        <w:t>.</w:t>
      </w:r>
    </w:p>
    <w:p w:rsidR="008E09EA" w:rsidRPr="003E2514" w:rsidRDefault="00AE638B" w:rsidP="003E2514">
      <w:pPr>
        <w:pStyle w:val="ECHRPara"/>
        <w:rPr>
          <w:i/>
        </w:rPr>
      </w:pPr>
      <w:r w:rsidRPr="003E2514">
        <w:fldChar w:fldCharType="begin"/>
      </w:r>
      <w:r w:rsidRPr="003E2514">
        <w:instrText xml:space="preserve"> SEQ level0 \*arabic </w:instrText>
      </w:r>
      <w:r w:rsidRPr="003E2514">
        <w:fldChar w:fldCharType="separate"/>
      </w:r>
      <w:r w:rsidR="003E2514" w:rsidRPr="003E2514">
        <w:rPr>
          <w:noProof/>
        </w:rPr>
        <w:t>74</w:t>
      </w:r>
      <w:r w:rsidRPr="003E2514">
        <w:rPr>
          <w:noProof/>
        </w:rPr>
        <w:fldChar w:fldCharType="end"/>
      </w:r>
      <w:r w:rsidR="00056672" w:rsidRPr="003E2514">
        <w:t>.  </w:t>
      </w:r>
      <w:r w:rsidR="002F178C" w:rsidRPr="003E2514">
        <w:t>T</w:t>
      </w:r>
      <w:r w:rsidR="007C5A61" w:rsidRPr="003E2514">
        <w:t>he Court reiterates</w:t>
      </w:r>
      <w:r w:rsidR="00034BBD" w:rsidRPr="003E2514">
        <w:t xml:space="preserve">, in particular, </w:t>
      </w:r>
      <w:r w:rsidR="000C5655" w:rsidRPr="003E2514">
        <w:t xml:space="preserve">that </w:t>
      </w:r>
      <w:r w:rsidR="009D257A" w:rsidRPr="003E2514">
        <w:t>i</w:t>
      </w:r>
      <w:r w:rsidR="000F12AF" w:rsidRPr="003E2514">
        <w:t xml:space="preserve">n determining whether a </w:t>
      </w:r>
      <w:r w:rsidR="00C10AED" w:rsidRPr="003E2514">
        <w:t>given</w:t>
      </w:r>
      <w:r w:rsidR="000F12AF" w:rsidRPr="003E2514">
        <w:t xml:space="preserve"> form of ill-treatment should be classified as torture, consideration must be given to the distinction, embodied in Article 3, between this notion and that of inhuman or degrading treatment. As noted in previous cases, it appears that it was the intention that the Convention should, by means of such a distinction, attach a special stigma to deliberate inhuman treatment causing very serious and cruel suffering (see</w:t>
      </w:r>
      <w:r w:rsidR="00482715" w:rsidRPr="003E2514">
        <w:t xml:space="preserve">, amongst many other authorities, </w:t>
      </w:r>
      <w:proofErr w:type="spellStart"/>
      <w:r w:rsidR="00834D3E" w:rsidRPr="003E2514">
        <w:rPr>
          <w:i/>
        </w:rPr>
        <w:t>Gäfgen</w:t>
      </w:r>
      <w:proofErr w:type="spellEnd"/>
      <w:r w:rsidR="00834D3E" w:rsidRPr="003E2514">
        <w:rPr>
          <w:i/>
        </w:rPr>
        <w:t xml:space="preserve"> v. Germany</w:t>
      </w:r>
      <w:r w:rsidR="00834D3E" w:rsidRPr="003E2514">
        <w:t xml:space="preserve"> [GC], no. 22978/05, § 90, ECHR 2010</w:t>
      </w:r>
      <w:r w:rsidR="000F12AF" w:rsidRPr="003E2514">
        <w:t>). In</w:t>
      </w:r>
      <w:r w:rsidR="00B24E96" w:rsidRPr="003E2514">
        <w:t xml:space="preserve"> </w:t>
      </w:r>
      <w:r w:rsidR="000F12AF" w:rsidRPr="003E2514">
        <w:t xml:space="preserve">addition to the severity of the treatment, there is a purposive element to torture, as recognised in the United Nations Convention against Torture, which in Article 1 defines torture in terms of the intentional infliction of </w:t>
      </w:r>
      <w:r w:rsidR="000F12AF" w:rsidRPr="003E2514">
        <w:lastRenderedPageBreak/>
        <w:t xml:space="preserve">severe pain or suffering with the aim, </w:t>
      </w:r>
      <w:r w:rsidR="000F12AF" w:rsidRPr="003E2514">
        <w:rPr>
          <w:i/>
        </w:rPr>
        <w:t>inter</w:t>
      </w:r>
      <w:r w:rsidR="000F12AF" w:rsidRPr="003E2514">
        <w:t xml:space="preserve"> </w:t>
      </w:r>
      <w:r w:rsidR="000F12AF" w:rsidRPr="003E2514">
        <w:rPr>
          <w:i/>
        </w:rPr>
        <w:t>alia</w:t>
      </w:r>
      <w:r w:rsidR="000F12AF" w:rsidRPr="003E2514">
        <w:t>, of obtaining information, inflicting punishment or intimidating (see</w:t>
      </w:r>
      <w:r w:rsidR="00482715" w:rsidRPr="003E2514">
        <w:t xml:space="preserve">, amongst many other </w:t>
      </w:r>
      <w:r w:rsidR="00177C69" w:rsidRPr="003E2514">
        <w:t>authorities</w:t>
      </w:r>
      <w:r w:rsidR="00482715" w:rsidRPr="003E2514">
        <w:t xml:space="preserve">, </w:t>
      </w:r>
      <w:r w:rsidR="00482715" w:rsidRPr="003E2514">
        <w:rPr>
          <w:i/>
        </w:rPr>
        <w:t>El-</w:t>
      </w:r>
      <w:proofErr w:type="spellStart"/>
      <w:r w:rsidR="00482715" w:rsidRPr="003E2514">
        <w:rPr>
          <w:i/>
        </w:rPr>
        <w:t>Masri</w:t>
      </w:r>
      <w:proofErr w:type="spellEnd"/>
      <w:r w:rsidR="00482715" w:rsidRPr="003E2514">
        <w:rPr>
          <w:i/>
        </w:rPr>
        <w:t xml:space="preserve"> v. the former Yugoslav Republic of Macedonia </w:t>
      </w:r>
      <w:r w:rsidR="00482715" w:rsidRPr="003E2514">
        <w:t>[GC], no.</w:t>
      </w:r>
      <w:r w:rsidR="000839D7" w:rsidRPr="003E2514">
        <w:t> </w:t>
      </w:r>
      <w:r w:rsidR="00482715" w:rsidRPr="003E2514">
        <w:t xml:space="preserve">39630/09, § </w:t>
      </w:r>
      <w:r w:rsidR="004E377E" w:rsidRPr="003E2514">
        <w:t>197</w:t>
      </w:r>
      <w:r w:rsidR="00482715" w:rsidRPr="003E2514">
        <w:t>,</w:t>
      </w:r>
      <w:r w:rsidR="00482715" w:rsidRPr="003E2514">
        <w:rPr>
          <w:snapToGrid w:val="0"/>
        </w:rPr>
        <w:t xml:space="preserve"> ECHR 2012</w:t>
      </w:r>
      <w:r w:rsidR="00482715" w:rsidRPr="003E2514">
        <w:t>).</w:t>
      </w:r>
    </w:p>
    <w:p w:rsidR="009E7268" w:rsidRPr="003E2514" w:rsidRDefault="00577D56" w:rsidP="003E2514">
      <w:pPr>
        <w:pStyle w:val="ECHRHeading4"/>
      </w:pPr>
      <w:r w:rsidRPr="003E2514">
        <w:t>(b)  </w:t>
      </w:r>
      <w:r w:rsidR="001B285B" w:rsidRPr="003E2514">
        <w:t>Application of the general principles to the present case</w:t>
      </w:r>
    </w:p>
    <w:p w:rsidR="004E67E9" w:rsidRPr="003E2514" w:rsidRDefault="007834B3" w:rsidP="003E2514">
      <w:pPr>
        <w:pStyle w:val="ECHRHeading5"/>
      </w:pPr>
      <w:r w:rsidRPr="003E2514">
        <w:t>(</w:t>
      </w:r>
      <w:proofErr w:type="spellStart"/>
      <w:r w:rsidR="00577D56" w:rsidRPr="003E2514">
        <w:t>i</w:t>
      </w:r>
      <w:proofErr w:type="spellEnd"/>
      <w:r w:rsidRPr="003E2514">
        <w:t>)</w:t>
      </w:r>
      <w:r w:rsidR="00577D56" w:rsidRPr="003E2514">
        <w:t>  </w:t>
      </w:r>
      <w:r w:rsidR="007617C7" w:rsidRPr="003E2514">
        <w:t>Establishment of the facts</w:t>
      </w:r>
    </w:p>
    <w:bookmarkStart w:id="25" w:name="Substantive_reasoning_start"/>
    <w:p w:rsidR="00986D96" w:rsidRPr="003E2514" w:rsidRDefault="00917ADF"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75</w:t>
      </w:r>
      <w:r w:rsidRPr="003E2514">
        <w:rPr>
          <w:noProof/>
        </w:rPr>
        <w:fldChar w:fldCharType="end"/>
      </w:r>
      <w:bookmarkEnd w:id="25"/>
      <w:r w:rsidR="004E364D" w:rsidRPr="003E2514">
        <w:t>.  </w:t>
      </w:r>
      <w:r w:rsidR="00BC735C" w:rsidRPr="003E2514">
        <w:t xml:space="preserve">The Court observes </w:t>
      </w:r>
      <w:r w:rsidR="0042512B" w:rsidRPr="003E2514">
        <w:t xml:space="preserve">at </w:t>
      </w:r>
      <w:r w:rsidR="00BC735C" w:rsidRPr="003E2514">
        <w:t xml:space="preserve">the outset that the </w:t>
      </w:r>
      <w:r w:rsidR="00E95944" w:rsidRPr="003E2514">
        <w:t>Asti District Court</w:t>
      </w:r>
      <w:r w:rsidR="00B72265" w:rsidRPr="003E2514">
        <w:t xml:space="preserve"> found that the impugned events occurred in the manner described by the applicants</w:t>
      </w:r>
      <w:r w:rsidR="009D3ED5" w:rsidRPr="003E2514">
        <w:t xml:space="preserve"> during the course of the domestic proceedings</w:t>
      </w:r>
      <w:r w:rsidR="008345AE" w:rsidRPr="003E2514">
        <w:t xml:space="preserve"> </w:t>
      </w:r>
      <w:r w:rsidR="00BC735C" w:rsidRPr="003E2514">
        <w:t xml:space="preserve">(see paragraphs </w:t>
      </w:r>
      <w:r w:rsidR="00BC735C" w:rsidRPr="003E2514">
        <w:fldChar w:fldCharType="begin"/>
      </w:r>
      <w:r w:rsidR="00BC735C" w:rsidRPr="003E2514">
        <w:instrText xml:space="preserve"> REF First_Instance_Facts \h </w:instrText>
      </w:r>
      <w:r w:rsidR="000509A6" w:rsidRPr="003E2514">
        <w:instrText xml:space="preserve"> \* MERGEFORMAT </w:instrText>
      </w:r>
      <w:r w:rsidR="00BC735C" w:rsidRPr="003E2514">
        <w:fldChar w:fldCharType="separate"/>
      </w:r>
      <w:r w:rsidR="003E2514" w:rsidRPr="003E2514">
        <w:rPr>
          <w:noProof/>
        </w:rPr>
        <w:t>25</w:t>
      </w:r>
      <w:r w:rsidR="00BC735C" w:rsidRPr="003E2514">
        <w:fldChar w:fldCharType="end"/>
      </w:r>
      <w:r w:rsidR="00BC735C" w:rsidRPr="003E2514">
        <w:t>-</w:t>
      </w:r>
      <w:r w:rsidR="00BC735C" w:rsidRPr="003E2514">
        <w:fldChar w:fldCharType="begin"/>
      </w:r>
      <w:r w:rsidR="00BC735C" w:rsidRPr="003E2514">
        <w:instrText xml:space="preserve"> REF First_Instance_Facts_End \h </w:instrText>
      </w:r>
      <w:r w:rsidR="000509A6" w:rsidRPr="003E2514">
        <w:instrText xml:space="preserve"> \* MERGEFORMAT </w:instrText>
      </w:r>
      <w:r w:rsidR="00BC735C" w:rsidRPr="003E2514">
        <w:fldChar w:fldCharType="separate"/>
      </w:r>
      <w:r w:rsidR="003E2514" w:rsidRPr="003E2514">
        <w:rPr>
          <w:bCs/>
          <w:noProof/>
        </w:rPr>
        <w:t>31</w:t>
      </w:r>
      <w:r w:rsidR="00BC735C" w:rsidRPr="003E2514">
        <w:fldChar w:fldCharType="end"/>
      </w:r>
      <w:r w:rsidR="00BC735C" w:rsidRPr="003E2514">
        <w:t xml:space="preserve"> above)</w:t>
      </w:r>
      <w:r w:rsidR="0040437E" w:rsidRPr="003E2514">
        <w:t xml:space="preserve">. </w:t>
      </w:r>
      <w:r w:rsidR="00AE19E3" w:rsidRPr="003E2514">
        <w:t>The Court sees no cogent reasons to call such findings into question.</w:t>
      </w:r>
    </w:p>
    <w:p w:rsidR="00986D96" w:rsidRPr="003E2514" w:rsidRDefault="00B91D4D"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76</w:t>
      </w:r>
      <w:r w:rsidRPr="003E2514">
        <w:fldChar w:fldCharType="end"/>
      </w:r>
      <w:r w:rsidRPr="003E2514">
        <w:t>.  </w:t>
      </w:r>
      <w:r w:rsidR="00D84E92" w:rsidRPr="003E2514">
        <w:t>The Court further observes that the Government did not contest the applicants</w:t>
      </w:r>
      <w:r w:rsidR="003E2514" w:rsidRPr="003E2514">
        <w:t>’</w:t>
      </w:r>
      <w:r w:rsidR="00D84E92" w:rsidRPr="003E2514">
        <w:t xml:space="preserve"> factual submissions or deny </w:t>
      </w:r>
      <w:r w:rsidR="00FD44AC" w:rsidRPr="003E2514">
        <w:t>that the events as described by the applicants had occurred.</w:t>
      </w:r>
    </w:p>
    <w:p w:rsidR="00986D96" w:rsidRPr="003E2514" w:rsidRDefault="00B91D4D"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77</w:t>
      </w:r>
      <w:r w:rsidRPr="003E2514">
        <w:fldChar w:fldCharType="end"/>
      </w:r>
      <w:r w:rsidRPr="003E2514">
        <w:t>.  </w:t>
      </w:r>
      <w:r w:rsidR="00F23498" w:rsidRPr="003E2514">
        <w:t>In view</w:t>
      </w:r>
      <w:r w:rsidR="00F81B3D" w:rsidRPr="003E2514">
        <w:t xml:space="preserve"> </w:t>
      </w:r>
      <w:r w:rsidR="00F23498" w:rsidRPr="003E2514">
        <w:t>of the foregoing, and</w:t>
      </w:r>
      <w:r w:rsidR="00351301" w:rsidRPr="003E2514">
        <w:t xml:space="preserve"> </w:t>
      </w:r>
      <w:r w:rsidR="00BE6CD6" w:rsidRPr="003E2514">
        <w:t>i</w:t>
      </w:r>
      <w:r w:rsidR="00FD2BFD" w:rsidRPr="003E2514">
        <w:t xml:space="preserve">n the light of </w:t>
      </w:r>
      <w:r w:rsidR="00BE6CD6" w:rsidRPr="003E2514">
        <w:t xml:space="preserve">all the documentary material </w:t>
      </w:r>
      <w:r w:rsidR="006538EF" w:rsidRPr="003E2514">
        <w:t>in its possession</w:t>
      </w:r>
      <w:r w:rsidR="002F69A1" w:rsidRPr="003E2514">
        <w:t>, the Court</w:t>
      </w:r>
      <w:r w:rsidR="006538EF" w:rsidRPr="003E2514">
        <w:t xml:space="preserve"> </w:t>
      </w:r>
      <w:r w:rsidR="00C55FE4" w:rsidRPr="003E2514">
        <w:t xml:space="preserve">finds it established that the applicants </w:t>
      </w:r>
      <w:r w:rsidR="00B97176" w:rsidRPr="003E2514">
        <w:t>were subjected to</w:t>
      </w:r>
      <w:r w:rsidR="00C55FE4" w:rsidRPr="003E2514">
        <w:t xml:space="preserve"> the</w:t>
      </w:r>
      <w:r w:rsidR="007A0634" w:rsidRPr="003E2514">
        <w:t xml:space="preserve"> treatment complained of.</w:t>
      </w:r>
    </w:p>
    <w:p w:rsidR="00581FF9" w:rsidRPr="003E2514" w:rsidRDefault="007834B3" w:rsidP="003E2514">
      <w:pPr>
        <w:pStyle w:val="ECHRHeading5"/>
      </w:pPr>
      <w:r w:rsidRPr="003E2514">
        <w:t>(</w:t>
      </w:r>
      <w:r w:rsidR="00970E2E" w:rsidRPr="003E2514">
        <w:t>ii</w:t>
      </w:r>
      <w:r w:rsidRPr="003E2514">
        <w:t>)</w:t>
      </w:r>
      <w:r w:rsidR="00970E2E" w:rsidRPr="003E2514">
        <w:t>  </w:t>
      </w:r>
      <w:r w:rsidR="004720D0" w:rsidRPr="003E2514">
        <w:t>Classification of the treatment inflicted on the applicants</w:t>
      </w:r>
    </w:p>
    <w:p w:rsidR="00986D96"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78</w:t>
      </w:r>
      <w:r w:rsidRPr="003E2514">
        <w:rPr>
          <w:noProof/>
        </w:rPr>
        <w:fldChar w:fldCharType="end"/>
      </w:r>
      <w:r w:rsidR="002E08AC" w:rsidRPr="003E2514">
        <w:t>.  </w:t>
      </w:r>
      <w:r w:rsidR="00AE78DB" w:rsidRPr="003E2514">
        <w:t>It remains to be determined</w:t>
      </w:r>
      <w:r w:rsidR="003A6549" w:rsidRPr="003E2514">
        <w:t xml:space="preserve"> whether the</w:t>
      </w:r>
      <w:r w:rsidR="00523F16" w:rsidRPr="003E2514">
        <w:t xml:space="preserve"> impugned</w:t>
      </w:r>
      <w:r w:rsidR="003A6549" w:rsidRPr="003E2514">
        <w:t xml:space="preserve"> treatment c</w:t>
      </w:r>
      <w:r w:rsidR="00962707" w:rsidRPr="003E2514">
        <w:t>an be said to have attained the minimum level of severity to bring it within the scope of Article 3 and, if so, how it is to be classified.</w:t>
      </w:r>
    </w:p>
    <w:p w:rsidR="00803121"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79</w:t>
      </w:r>
      <w:r w:rsidRPr="003E2514">
        <w:rPr>
          <w:noProof/>
        </w:rPr>
        <w:fldChar w:fldCharType="end"/>
      </w:r>
      <w:r w:rsidR="00654BD1" w:rsidRPr="003E2514">
        <w:t>.  </w:t>
      </w:r>
      <w:r w:rsidR="00471FBA" w:rsidRPr="003E2514">
        <w:t>The</w:t>
      </w:r>
      <w:r w:rsidR="00F71BC3" w:rsidRPr="003E2514">
        <w:t xml:space="preserve"> Court will </w:t>
      </w:r>
      <w:r w:rsidR="00345D28" w:rsidRPr="003E2514">
        <w:t>begin by assessing</w:t>
      </w:r>
      <w:r w:rsidR="00F71BC3" w:rsidRPr="003E2514">
        <w:t xml:space="preserve"> the severity of the treatment to which the applicants were subjected. </w:t>
      </w:r>
      <w:r w:rsidR="00654BD1" w:rsidRPr="003E2514">
        <w:t xml:space="preserve">The Court reiterates that, according to the findings of the </w:t>
      </w:r>
      <w:r w:rsidR="00280091" w:rsidRPr="003E2514">
        <w:t>domestic</w:t>
      </w:r>
      <w:r w:rsidR="00654BD1" w:rsidRPr="003E2514">
        <w:t xml:space="preserve"> court, the first applicant </w:t>
      </w:r>
      <w:proofErr w:type="gramStart"/>
      <w:r w:rsidR="00654BD1" w:rsidRPr="003E2514">
        <w:t>was subjected</w:t>
      </w:r>
      <w:proofErr w:type="gramEnd"/>
      <w:r w:rsidR="00654BD1" w:rsidRPr="003E2514">
        <w:t xml:space="preserve"> to repeated physical violence for nineteen days and the second applicant for six days (see paragraph </w:t>
      </w:r>
      <w:r w:rsidR="00654BD1" w:rsidRPr="003E2514">
        <w:fldChar w:fldCharType="begin"/>
      </w:r>
      <w:r w:rsidR="00654BD1" w:rsidRPr="003E2514">
        <w:instrText xml:space="preserve"> REF Physical_violence_duration \h  \* MERGEFORMAT </w:instrText>
      </w:r>
      <w:r w:rsidR="00654BD1" w:rsidRPr="003E2514">
        <w:fldChar w:fldCharType="separate"/>
      </w:r>
      <w:r w:rsidR="003E2514" w:rsidRPr="003E2514">
        <w:t>27</w:t>
      </w:r>
      <w:r w:rsidR="00654BD1" w:rsidRPr="003E2514">
        <w:fldChar w:fldCharType="end"/>
      </w:r>
      <w:r w:rsidR="00654BD1" w:rsidRPr="003E2514">
        <w:t xml:space="preserve"> above). </w:t>
      </w:r>
      <w:r w:rsidR="000C1FD5" w:rsidRPr="003E2514">
        <w:t>With specific regard to the second applicant, his</w:t>
      </w:r>
      <w:r w:rsidR="00654BD1" w:rsidRPr="003E2514">
        <w:t xml:space="preserve"> medical records </w:t>
      </w:r>
      <w:r w:rsidR="00DC0A81" w:rsidRPr="003E2514">
        <w:t xml:space="preserve">reveal </w:t>
      </w:r>
      <w:r w:rsidR="00654BD1" w:rsidRPr="003E2514">
        <w:t xml:space="preserve">that he sustained injuries and complained about being in pain, and he </w:t>
      </w:r>
      <w:proofErr w:type="gramStart"/>
      <w:r w:rsidR="00654BD1" w:rsidRPr="003E2514">
        <w:t>was ultimately admitted</w:t>
      </w:r>
      <w:proofErr w:type="gramEnd"/>
      <w:r w:rsidR="00654BD1" w:rsidRPr="003E2514">
        <w:t xml:space="preserve"> to the hospital with a fractured rib and widespread bruising (</w:t>
      </w:r>
      <w:r w:rsidR="001248BB" w:rsidRPr="003E2514">
        <w:t xml:space="preserve">see paragraphs </w:t>
      </w:r>
      <w:r w:rsidR="001248BB" w:rsidRPr="003E2514">
        <w:fldChar w:fldCharType="begin"/>
      </w:r>
      <w:r w:rsidR="001248BB" w:rsidRPr="003E2514">
        <w:instrText xml:space="preserve"> REF Hospitalisation_court \h  \* MERGEFORMAT </w:instrText>
      </w:r>
      <w:r w:rsidR="001248BB" w:rsidRPr="003E2514">
        <w:fldChar w:fldCharType="separate"/>
      </w:r>
      <w:r w:rsidR="003E2514" w:rsidRPr="003E2514">
        <w:rPr>
          <w:noProof/>
        </w:rPr>
        <w:t>28</w:t>
      </w:r>
      <w:r w:rsidR="001248BB" w:rsidRPr="003E2514">
        <w:fldChar w:fldCharType="end"/>
      </w:r>
      <w:r w:rsidR="001248BB" w:rsidRPr="003E2514">
        <w:t xml:space="preserve"> and </w:t>
      </w:r>
      <w:r w:rsidR="001248BB" w:rsidRPr="003E2514">
        <w:fldChar w:fldCharType="begin"/>
      </w:r>
      <w:r w:rsidR="001248BB" w:rsidRPr="003E2514">
        <w:instrText xml:space="preserve"> REF Hospitalisation_ER \h  \* MERGEFORMAT </w:instrText>
      </w:r>
      <w:r w:rsidR="001248BB" w:rsidRPr="003E2514">
        <w:fldChar w:fldCharType="separate"/>
      </w:r>
      <w:r w:rsidR="003E2514" w:rsidRPr="003E2514">
        <w:rPr>
          <w:noProof/>
        </w:rPr>
        <w:t>51</w:t>
      </w:r>
      <w:r w:rsidR="001248BB" w:rsidRPr="003E2514">
        <w:fldChar w:fldCharType="end"/>
      </w:r>
      <w:r w:rsidR="001248BB" w:rsidRPr="003E2514">
        <w:t xml:space="preserve"> above</w:t>
      </w:r>
      <w:r w:rsidR="00654BD1" w:rsidRPr="003E2514">
        <w:t>).</w:t>
      </w:r>
    </w:p>
    <w:p w:rsidR="00986D96"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80</w:t>
      </w:r>
      <w:r w:rsidRPr="003E2514">
        <w:rPr>
          <w:noProof/>
        </w:rPr>
        <w:fldChar w:fldCharType="end"/>
      </w:r>
      <w:r w:rsidR="00725F15" w:rsidRPr="003E2514">
        <w:t>.  </w:t>
      </w:r>
      <w:r w:rsidR="00103052" w:rsidRPr="003E2514">
        <w:t xml:space="preserve">In addition to </w:t>
      </w:r>
      <w:r w:rsidR="009D4503" w:rsidRPr="003E2514">
        <w:t xml:space="preserve">the </w:t>
      </w:r>
      <w:r w:rsidR="00103052" w:rsidRPr="003E2514">
        <w:t>physical suffering</w:t>
      </w:r>
      <w:r w:rsidR="009D4503" w:rsidRPr="003E2514">
        <w:t xml:space="preserve"> the applicant</w:t>
      </w:r>
      <w:r w:rsidR="007D1270" w:rsidRPr="003E2514">
        <w:t>s</w:t>
      </w:r>
      <w:r w:rsidR="009D4503" w:rsidRPr="003E2514">
        <w:t xml:space="preserve"> must have endured</w:t>
      </w:r>
      <w:r w:rsidR="00F83836" w:rsidRPr="003E2514">
        <w:t xml:space="preserve"> as a consequence of the physical abuse</w:t>
      </w:r>
      <w:r w:rsidR="00103052" w:rsidRPr="003E2514">
        <w:t xml:space="preserve">, the Court </w:t>
      </w:r>
      <w:r w:rsidR="009D4503" w:rsidRPr="003E2514">
        <w:t>considers that the treatment may be regarded as having caused the</w:t>
      </w:r>
      <w:r w:rsidR="007D1270" w:rsidRPr="003E2514">
        <w:t xml:space="preserve">m </w:t>
      </w:r>
      <w:r w:rsidR="009D4503" w:rsidRPr="003E2514">
        <w:t>considerable fear, anguish and mental suffering. </w:t>
      </w:r>
      <w:r w:rsidR="00E7310F" w:rsidRPr="003E2514">
        <w:t>As an overarching consideration, t</w:t>
      </w:r>
      <w:r w:rsidR="009D4503" w:rsidRPr="003E2514">
        <w:t xml:space="preserve">he Court </w:t>
      </w:r>
      <w:r w:rsidR="000772FD" w:rsidRPr="003E2514">
        <w:t xml:space="preserve">is mindful of the fact </w:t>
      </w:r>
      <w:r w:rsidR="009D4503" w:rsidRPr="003E2514">
        <w:t>that the treatment was inflicted in the context of the applicants being in the custody of prison officers,</w:t>
      </w:r>
      <w:r w:rsidR="00CB7EAC" w:rsidRPr="003E2514">
        <w:t xml:space="preserve"> </w:t>
      </w:r>
      <w:r w:rsidR="001C011F" w:rsidRPr="003E2514">
        <w:t>and thus</w:t>
      </w:r>
      <w:r w:rsidR="003E36E0" w:rsidRPr="003E2514">
        <w:t xml:space="preserve"> already</w:t>
      </w:r>
      <w:r w:rsidR="006D7A77" w:rsidRPr="003E2514">
        <w:t xml:space="preserve"> in a situation of vulnerability (see </w:t>
      </w:r>
      <w:proofErr w:type="spellStart"/>
      <w:r w:rsidR="006D7A77" w:rsidRPr="003E2514">
        <w:rPr>
          <w:i/>
        </w:rPr>
        <w:t>Bouyid</w:t>
      </w:r>
      <w:proofErr w:type="spellEnd"/>
      <w:r w:rsidR="006D7A77" w:rsidRPr="003E2514">
        <w:t>, cited above, § 107</w:t>
      </w:r>
      <w:r w:rsidR="001C011F" w:rsidRPr="003E2514">
        <w:t xml:space="preserve">). </w:t>
      </w:r>
      <w:r w:rsidR="009D4503" w:rsidRPr="003E2514">
        <w:t>The</w:t>
      </w:r>
      <w:r w:rsidR="00540476" w:rsidRPr="003E2514">
        <w:t xml:space="preserve"> applicants</w:t>
      </w:r>
      <w:r w:rsidR="003E2514" w:rsidRPr="003E2514">
        <w:t>’</w:t>
      </w:r>
      <w:r w:rsidR="009D4503" w:rsidRPr="003E2514">
        <w:t xml:space="preserve"> state of</w:t>
      </w:r>
      <w:r w:rsidR="00DF61C3" w:rsidRPr="003E2514">
        <w:t xml:space="preserve"> further</w:t>
      </w:r>
      <w:r w:rsidR="009D4503" w:rsidRPr="003E2514">
        <w:t xml:space="preserve"> isolation</w:t>
      </w:r>
      <w:r w:rsidR="00DF61C3" w:rsidRPr="003E2514">
        <w:t xml:space="preserve"> due to their placement in </w:t>
      </w:r>
      <w:r w:rsidR="00257202" w:rsidRPr="003E2514">
        <w:t xml:space="preserve">the </w:t>
      </w:r>
      <w:r w:rsidR="00DF61C3" w:rsidRPr="003E2514">
        <w:t>solitary confinement</w:t>
      </w:r>
      <w:r w:rsidR="00257202" w:rsidRPr="003E2514">
        <w:t xml:space="preserve"> wing</w:t>
      </w:r>
      <w:r w:rsidR="00911AED" w:rsidRPr="003E2514">
        <w:t xml:space="preserve"> </w:t>
      </w:r>
      <w:r w:rsidR="009D4503" w:rsidRPr="003E2514">
        <w:t xml:space="preserve">must have </w:t>
      </w:r>
      <w:r w:rsidR="00766DD0" w:rsidRPr="003E2514">
        <w:t>intensified</w:t>
      </w:r>
      <w:r w:rsidR="009D4503" w:rsidRPr="003E2514">
        <w:t xml:space="preserve"> </w:t>
      </w:r>
      <w:r w:rsidR="00540476" w:rsidRPr="003E2514">
        <w:t>their</w:t>
      </w:r>
      <w:r w:rsidR="009D4503" w:rsidRPr="003E2514">
        <w:t xml:space="preserve"> fear, anxiety, and feelings of helplessness.</w:t>
      </w:r>
    </w:p>
    <w:p w:rsidR="00725F15"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81</w:t>
      </w:r>
      <w:r w:rsidRPr="003E2514">
        <w:rPr>
          <w:noProof/>
        </w:rPr>
        <w:fldChar w:fldCharType="end"/>
      </w:r>
      <w:r w:rsidR="00257202" w:rsidRPr="003E2514">
        <w:t>.  </w:t>
      </w:r>
      <w:r w:rsidR="009D4503" w:rsidRPr="003E2514">
        <w:t>The Court</w:t>
      </w:r>
      <w:r w:rsidR="002C015E" w:rsidRPr="003E2514">
        <w:t xml:space="preserve"> once</w:t>
      </w:r>
      <w:r w:rsidR="009D4503" w:rsidRPr="003E2514">
        <w:t xml:space="preserve"> again notes that the applicants </w:t>
      </w:r>
      <w:proofErr w:type="gramStart"/>
      <w:r w:rsidR="009D4503" w:rsidRPr="003E2514">
        <w:t xml:space="preserve">were </w:t>
      </w:r>
      <w:r w:rsidR="00257202" w:rsidRPr="003E2514">
        <w:t>subjected</w:t>
      </w:r>
      <w:proofErr w:type="gramEnd"/>
      <w:r w:rsidR="00257202" w:rsidRPr="003E2514">
        <w:t xml:space="preserve"> to physical abuse</w:t>
      </w:r>
      <w:r w:rsidR="009D4503" w:rsidRPr="003E2514">
        <w:t xml:space="preserve"> at all hours of the day and night</w:t>
      </w:r>
      <w:r w:rsidR="007A0FE1" w:rsidRPr="003E2514">
        <w:t xml:space="preserve"> for many consecutive days</w:t>
      </w:r>
      <w:r w:rsidR="00520CEC" w:rsidRPr="003E2514">
        <w:t xml:space="preserve"> </w:t>
      </w:r>
      <w:r w:rsidR="00520CEC" w:rsidRPr="003E2514">
        <w:lastRenderedPageBreak/>
        <w:t>(</w:t>
      </w:r>
      <w:r w:rsidR="0009679A" w:rsidRPr="003E2514">
        <w:t xml:space="preserve">see paragraph </w:t>
      </w:r>
      <w:r w:rsidR="0009679A" w:rsidRPr="003E2514">
        <w:fldChar w:fldCharType="begin"/>
      </w:r>
      <w:r w:rsidR="0009679A" w:rsidRPr="003E2514">
        <w:instrText xml:space="preserve"> REF Physical_violence_duration \h  \* MERGEFORMAT </w:instrText>
      </w:r>
      <w:r w:rsidR="0009679A" w:rsidRPr="003E2514">
        <w:fldChar w:fldCharType="separate"/>
      </w:r>
      <w:r w:rsidR="003E2514" w:rsidRPr="003E2514">
        <w:t>27</w:t>
      </w:r>
      <w:r w:rsidR="0009679A" w:rsidRPr="003E2514">
        <w:fldChar w:fldCharType="end"/>
      </w:r>
      <w:r w:rsidR="0009679A" w:rsidRPr="003E2514">
        <w:t xml:space="preserve"> above</w:t>
      </w:r>
      <w:r w:rsidR="00520CEC" w:rsidRPr="003E2514">
        <w:t>)</w:t>
      </w:r>
      <w:r w:rsidR="009D4503" w:rsidRPr="003E2514">
        <w:t>.</w:t>
      </w:r>
      <w:r w:rsidR="002C015E" w:rsidRPr="003E2514">
        <w:t> </w:t>
      </w:r>
      <w:r w:rsidR="009D4503" w:rsidRPr="003E2514">
        <w:t>Moreover, the</w:t>
      </w:r>
      <w:r w:rsidR="00A6118A" w:rsidRPr="003E2514">
        <w:t xml:space="preserve"> physical</w:t>
      </w:r>
      <w:r w:rsidR="009D4503" w:rsidRPr="003E2514">
        <w:t xml:space="preserve"> abuse was coupled with extremely serious “material” deprivations</w:t>
      </w:r>
      <w:r w:rsidR="00852693" w:rsidRPr="003E2514">
        <w:t>,</w:t>
      </w:r>
      <w:r w:rsidR="00003101" w:rsidRPr="003E2514">
        <w:t xml:space="preserve"> which must have</w:t>
      </w:r>
      <w:r w:rsidR="00C63D3D" w:rsidRPr="003E2514">
        <w:t xml:space="preserve"> inevitably</w:t>
      </w:r>
      <w:r w:rsidR="00003101" w:rsidRPr="003E2514">
        <w:t xml:space="preserve"> </w:t>
      </w:r>
      <w:r w:rsidR="00766DD0" w:rsidRPr="003E2514">
        <w:t>accentuated</w:t>
      </w:r>
      <w:r w:rsidR="00003101" w:rsidRPr="003E2514">
        <w:t xml:space="preserve"> the</w:t>
      </w:r>
      <w:r w:rsidR="00C63D3D" w:rsidRPr="003E2514">
        <w:t>ir</w:t>
      </w:r>
      <w:r w:rsidR="00003101" w:rsidRPr="003E2514">
        <w:t xml:space="preserve"> suffering. In this </w:t>
      </w:r>
      <w:r w:rsidR="00D9320A" w:rsidRPr="003E2514">
        <w:t xml:space="preserve">latter </w:t>
      </w:r>
      <w:r w:rsidR="00003101" w:rsidRPr="003E2514">
        <w:t>respect</w:t>
      </w:r>
      <w:r w:rsidR="00496EBC" w:rsidRPr="003E2514">
        <w:t>,</w:t>
      </w:r>
      <w:r w:rsidR="00003101" w:rsidRPr="003E2514">
        <w:t xml:space="preserve"> </w:t>
      </w:r>
      <w:r w:rsidR="00852693" w:rsidRPr="003E2514">
        <w:t>the applicants were subjected to deprivations and rationing o</w:t>
      </w:r>
      <w:r w:rsidR="007820EE" w:rsidRPr="003E2514">
        <w:t>f food and water</w:t>
      </w:r>
      <w:r w:rsidR="00852693" w:rsidRPr="003E2514">
        <w:t xml:space="preserve">, and were detained in </w:t>
      </w:r>
      <w:r w:rsidR="00FF049E" w:rsidRPr="003E2514">
        <w:t xml:space="preserve">cells </w:t>
      </w:r>
      <w:r w:rsidR="00905A01" w:rsidRPr="003E2514">
        <w:t xml:space="preserve">with limited or no access to sanitary facilities, </w:t>
      </w:r>
      <w:r w:rsidR="00F54BA3" w:rsidRPr="003E2514">
        <w:t xml:space="preserve">appropriate </w:t>
      </w:r>
      <w:r w:rsidR="00551AEF" w:rsidRPr="003E2514">
        <w:t xml:space="preserve">bedding, </w:t>
      </w:r>
      <w:r w:rsidR="00F767B5" w:rsidRPr="003E2514">
        <w:t>or</w:t>
      </w:r>
      <w:r w:rsidR="00551AEF" w:rsidRPr="003E2514">
        <w:t xml:space="preserve"> heating</w:t>
      </w:r>
      <w:r w:rsidR="009D4503" w:rsidRPr="003E2514">
        <w:t>.</w:t>
      </w:r>
      <w:r w:rsidR="008E4E1A" w:rsidRPr="003E2514">
        <w:t xml:space="preserve"> </w:t>
      </w:r>
      <w:r w:rsidR="00814D45" w:rsidRPr="003E2514">
        <w:t>The applicants were further subjected to a</w:t>
      </w:r>
      <w:r w:rsidR="009D4503" w:rsidRPr="003E2514">
        <w:t>dditional gratuitous</w:t>
      </w:r>
      <w:r w:rsidR="005C50CD" w:rsidRPr="003E2514">
        <w:t xml:space="preserve"> </w:t>
      </w:r>
      <w:r w:rsidR="009D4503" w:rsidRPr="003E2514">
        <w:t>acts</w:t>
      </w:r>
      <w:r w:rsidR="00814D45" w:rsidRPr="003E2514">
        <w:t>,</w:t>
      </w:r>
      <w:r w:rsidR="009D4503" w:rsidRPr="003E2514">
        <w:t xml:space="preserve"> such as depriving </w:t>
      </w:r>
      <w:r w:rsidR="005C50CD" w:rsidRPr="003E2514">
        <w:t>t</w:t>
      </w:r>
      <w:r w:rsidR="00814D45" w:rsidRPr="003E2514">
        <w:t xml:space="preserve">hem </w:t>
      </w:r>
      <w:r w:rsidR="009D4503" w:rsidRPr="003E2514">
        <w:t>of their clothing</w:t>
      </w:r>
      <w:r w:rsidR="00814D45" w:rsidRPr="003E2514">
        <w:t>,</w:t>
      </w:r>
      <w:r w:rsidR="004B3693" w:rsidRPr="003E2514">
        <w:t xml:space="preserve"> which</w:t>
      </w:r>
      <w:r w:rsidR="009D4503" w:rsidRPr="003E2514">
        <w:t xml:space="preserve"> must have entailed elements of humiliation </w:t>
      </w:r>
      <w:r w:rsidR="00E5556A" w:rsidRPr="003E2514">
        <w:t>and</w:t>
      </w:r>
      <w:r w:rsidR="009D4503" w:rsidRPr="003E2514">
        <w:t xml:space="preserve"> debasement (see, </w:t>
      </w:r>
      <w:r w:rsidR="009D4503" w:rsidRPr="003E2514">
        <w:rPr>
          <w:i/>
        </w:rPr>
        <w:t>mutatis mutandis</w:t>
      </w:r>
      <w:r w:rsidR="009D4503" w:rsidRPr="003E2514">
        <w:t xml:space="preserve">, </w:t>
      </w:r>
      <w:proofErr w:type="spellStart"/>
      <w:r w:rsidR="009D4503" w:rsidRPr="003E2514">
        <w:rPr>
          <w:i/>
        </w:rPr>
        <w:t>Hellig</w:t>
      </w:r>
      <w:proofErr w:type="spellEnd"/>
      <w:r w:rsidR="009D4503" w:rsidRPr="003E2514">
        <w:rPr>
          <w:i/>
        </w:rPr>
        <w:t xml:space="preserve"> v.</w:t>
      </w:r>
      <w:r w:rsidR="00B24E96" w:rsidRPr="003E2514">
        <w:rPr>
          <w:i/>
        </w:rPr>
        <w:t> </w:t>
      </w:r>
      <w:r w:rsidR="009D4503" w:rsidRPr="003E2514">
        <w:rPr>
          <w:i/>
        </w:rPr>
        <w:t>Germany</w:t>
      </w:r>
      <w:r w:rsidR="009D4503" w:rsidRPr="003E2514">
        <w:t>, no. 20999/05, §§ 52-57, 7 July 2011).</w:t>
      </w:r>
    </w:p>
    <w:p w:rsidR="00725F15"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82</w:t>
      </w:r>
      <w:r w:rsidRPr="003E2514">
        <w:rPr>
          <w:noProof/>
        </w:rPr>
        <w:fldChar w:fldCharType="end"/>
      </w:r>
      <w:r w:rsidR="00396DF1" w:rsidRPr="003E2514">
        <w:t>.  </w:t>
      </w:r>
      <w:r w:rsidR="00490F00" w:rsidRPr="003E2514">
        <w:t>In the light of the foregoing, the Court considers that the treatment</w:t>
      </w:r>
      <w:r w:rsidR="002503C7" w:rsidRPr="003E2514">
        <w:t xml:space="preserve"> sustained by the applicants</w:t>
      </w:r>
      <w:r w:rsidR="00490F00" w:rsidRPr="003E2514">
        <w:t xml:space="preserve"> may be characterised as “inhuman treatment causing very serious and cruel suffering” for the purposes of Article 3 (</w:t>
      </w:r>
      <w:r w:rsidR="00387EAA" w:rsidRPr="003E2514">
        <w:t>see</w:t>
      </w:r>
      <w:r w:rsidR="00647D81" w:rsidRPr="003E2514">
        <w:t xml:space="preserve"> </w:t>
      </w:r>
      <w:r w:rsidR="003B7CD1" w:rsidRPr="003E2514">
        <w:rPr>
          <w:i/>
        </w:rPr>
        <w:t xml:space="preserve">Al </w:t>
      </w:r>
      <w:proofErr w:type="spellStart"/>
      <w:r w:rsidR="003B7CD1" w:rsidRPr="003E2514">
        <w:rPr>
          <w:i/>
        </w:rPr>
        <w:t>Nashiri</w:t>
      </w:r>
      <w:proofErr w:type="spellEnd"/>
      <w:r w:rsidR="003B7CD1" w:rsidRPr="003E2514">
        <w:rPr>
          <w:i/>
        </w:rPr>
        <w:t xml:space="preserve"> v. Poland</w:t>
      </w:r>
      <w:r w:rsidR="003B7CD1" w:rsidRPr="003E2514">
        <w:rPr>
          <w:snapToGrid w:val="0"/>
        </w:rPr>
        <w:t>, no. 28761/11, § 515, 24 July 2014</w:t>
      </w:r>
      <w:r w:rsidR="00490F00" w:rsidRPr="003E2514">
        <w:t>)</w:t>
      </w:r>
      <w:r w:rsidR="004E404C" w:rsidRPr="003E2514">
        <w:t>.</w:t>
      </w:r>
    </w:p>
    <w:p w:rsidR="00986D96"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83</w:t>
      </w:r>
      <w:r w:rsidRPr="003E2514">
        <w:rPr>
          <w:noProof/>
        </w:rPr>
        <w:fldChar w:fldCharType="end"/>
      </w:r>
      <w:r w:rsidR="0044619E" w:rsidRPr="003E2514">
        <w:t>.  </w:t>
      </w:r>
      <w:r w:rsidR="0072685D" w:rsidRPr="003E2514">
        <w:t>In the Court</w:t>
      </w:r>
      <w:r w:rsidR="003E2514" w:rsidRPr="003E2514">
        <w:t>’</w:t>
      </w:r>
      <w:r w:rsidR="0072685D" w:rsidRPr="003E2514">
        <w:t>s view</w:t>
      </w:r>
      <w:r w:rsidR="00894C5B" w:rsidRPr="003E2514">
        <w:t>,</w:t>
      </w:r>
      <w:r w:rsidR="0072685D" w:rsidRPr="003E2514">
        <w:t xml:space="preserve"> the treatment was deliberate and </w:t>
      </w:r>
      <w:r w:rsidR="00973E63" w:rsidRPr="003E2514">
        <w:t>carried out</w:t>
      </w:r>
      <w:r w:rsidR="0072685D" w:rsidRPr="003E2514">
        <w:t xml:space="preserve"> in a premeditated and organi</w:t>
      </w:r>
      <w:r w:rsidR="00957380" w:rsidRPr="003E2514">
        <w:t>s</w:t>
      </w:r>
      <w:r w:rsidR="0072685D" w:rsidRPr="003E2514">
        <w:t>ed manner.</w:t>
      </w:r>
      <w:r w:rsidR="00BC5A9A" w:rsidRPr="003E2514">
        <w:t xml:space="preserve"> In this connection</w:t>
      </w:r>
      <w:r w:rsidR="00345D28" w:rsidRPr="003E2514">
        <w:t>, the</w:t>
      </w:r>
      <w:r w:rsidR="00135915" w:rsidRPr="003E2514">
        <w:t xml:space="preserve"> Court notes that the</w:t>
      </w:r>
      <w:r w:rsidR="00345D28" w:rsidRPr="003E2514">
        <w:t xml:space="preserve"> impugned treatment was not confined to one particular moment, namely immediately following the fight between the applicants and the prison officers. It has been clearly established that the applicants endured repeated and sustained assaults and other forms of abuse and deprivations over a number of days. In this connection, </w:t>
      </w:r>
      <w:r w:rsidR="00DC0A81" w:rsidRPr="003E2514">
        <w:t xml:space="preserve">note </w:t>
      </w:r>
      <w:r w:rsidR="00345D28" w:rsidRPr="003E2514">
        <w:t xml:space="preserve">should also be </w:t>
      </w:r>
      <w:r w:rsidR="00DC0A81" w:rsidRPr="003E2514">
        <w:t>taken</w:t>
      </w:r>
      <w:r w:rsidR="00345D28" w:rsidRPr="003E2514">
        <w:t xml:space="preserve"> o</w:t>
      </w:r>
      <w:r w:rsidR="00DC0A81" w:rsidRPr="003E2514">
        <w:t>f</w:t>
      </w:r>
      <w:r w:rsidR="00345D28" w:rsidRPr="003E2514">
        <w:t xml:space="preserve"> the conclusions reached by the domestic court, which found that the applicants had been subjected not just to isolated acts of harassment and abuse, but to what it defined as </w:t>
      </w:r>
      <w:r w:rsidR="00A74FBD" w:rsidRPr="003E2514">
        <w:t>measures</w:t>
      </w:r>
      <w:r w:rsidR="00345D28" w:rsidRPr="003E2514">
        <w:t xml:space="preserve"> which had been put into practice in a systematic manner (see paragraph </w:t>
      </w:r>
      <w:r w:rsidR="0068057F" w:rsidRPr="003E2514">
        <w:fldChar w:fldCharType="begin"/>
      </w:r>
      <w:r w:rsidR="0068057F" w:rsidRPr="003E2514">
        <w:instrText xml:space="preserve"> REF Sys \h </w:instrText>
      </w:r>
      <w:r w:rsidR="0068057F" w:rsidRPr="003E2514">
        <w:fldChar w:fldCharType="separate"/>
      </w:r>
      <w:r w:rsidR="003E2514" w:rsidRPr="003E2514">
        <w:rPr>
          <w:noProof/>
        </w:rPr>
        <w:t>26</w:t>
      </w:r>
      <w:r w:rsidR="0068057F" w:rsidRPr="003E2514">
        <w:fldChar w:fldCharType="end"/>
      </w:r>
      <w:r w:rsidR="00345D28" w:rsidRPr="003E2514">
        <w:t xml:space="preserve"> above).</w:t>
      </w:r>
    </w:p>
    <w:p w:rsidR="0040020F" w:rsidRPr="003E2514" w:rsidRDefault="00AE638B" w:rsidP="003E2514">
      <w:pPr>
        <w:pStyle w:val="ECHRPara"/>
        <w:rPr>
          <w:bCs/>
        </w:rPr>
      </w:pPr>
      <w:r w:rsidRPr="003E2514">
        <w:fldChar w:fldCharType="begin"/>
      </w:r>
      <w:r w:rsidRPr="003E2514">
        <w:instrText xml:space="preserve"> SEQ level0 \*arabic </w:instrText>
      </w:r>
      <w:r w:rsidRPr="003E2514">
        <w:fldChar w:fldCharType="separate"/>
      </w:r>
      <w:r w:rsidR="003E2514" w:rsidRPr="003E2514">
        <w:rPr>
          <w:noProof/>
        </w:rPr>
        <w:t>84</w:t>
      </w:r>
      <w:r w:rsidRPr="003E2514">
        <w:rPr>
          <w:noProof/>
        </w:rPr>
        <w:fldChar w:fldCharType="end"/>
      </w:r>
      <w:r w:rsidR="00F90381" w:rsidRPr="003E2514">
        <w:t>.  </w:t>
      </w:r>
      <w:r w:rsidR="00F96CEB" w:rsidRPr="003E2514">
        <w:t>The</w:t>
      </w:r>
      <w:r w:rsidR="00296D51" w:rsidRPr="003E2514">
        <w:t xml:space="preserve"> Court</w:t>
      </w:r>
      <w:r w:rsidR="00F96CEB" w:rsidRPr="003E2514">
        <w:t xml:space="preserve"> further</w:t>
      </w:r>
      <w:r w:rsidR="00296D51" w:rsidRPr="003E2514">
        <w:t xml:space="preserve"> considers that</w:t>
      </w:r>
      <w:r w:rsidR="00F96CEB" w:rsidRPr="003E2514">
        <w:t>, for the purposes of its assessment as to the deliberate nature of the treatment,</w:t>
      </w:r>
      <w:r w:rsidR="00296D51" w:rsidRPr="003E2514">
        <w:t xml:space="preserve"> the context in which the treatment was inflicted is worthy of particular scrutiny. </w:t>
      </w:r>
      <w:r w:rsidR="00D91682" w:rsidRPr="003E2514">
        <w:t xml:space="preserve">The domestic court </w:t>
      </w:r>
      <w:r w:rsidR="00506031" w:rsidRPr="003E2514">
        <w:t>found</w:t>
      </w:r>
      <w:r w:rsidR="001554B0" w:rsidRPr="003E2514">
        <w:t xml:space="preserve"> evidence of</w:t>
      </w:r>
      <w:r w:rsidR="00506031" w:rsidRPr="003E2514">
        <w:t xml:space="preserve"> </w:t>
      </w:r>
      <w:r w:rsidR="00345D28" w:rsidRPr="003E2514">
        <w:t xml:space="preserve">the existence of a broader pattern of abuse in the correctional facility at issue, which </w:t>
      </w:r>
      <w:r w:rsidR="000C7A9E" w:rsidRPr="003E2514">
        <w:t>it</w:t>
      </w:r>
      <w:r w:rsidR="00345D28" w:rsidRPr="003E2514">
        <w:t xml:space="preserve"> labelled a “generalised practice of ill</w:t>
      </w:r>
      <w:r w:rsidR="00DC0A81" w:rsidRPr="003E2514">
        <w:noBreakHyphen/>
      </w:r>
      <w:r w:rsidR="00345D28" w:rsidRPr="003E2514">
        <w:t xml:space="preserve">treatment” (see paragraph </w:t>
      </w:r>
      <w:r w:rsidR="00345D28" w:rsidRPr="003E2514">
        <w:fldChar w:fldCharType="begin"/>
      </w:r>
      <w:r w:rsidR="00345D28" w:rsidRPr="003E2514">
        <w:instrText xml:space="preserve"> REF Policy_ill_treatment \h  \* MERGEFORMAT </w:instrText>
      </w:r>
      <w:r w:rsidR="00345D28" w:rsidRPr="003E2514">
        <w:fldChar w:fldCharType="separate"/>
      </w:r>
      <w:r w:rsidR="003E2514" w:rsidRPr="003E2514">
        <w:t>29</w:t>
      </w:r>
      <w:r w:rsidR="00345D28" w:rsidRPr="003E2514">
        <w:fldChar w:fldCharType="end"/>
      </w:r>
      <w:r w:rsidR="00345D28" w:rsidRPr="003E2514">
        <w:t xml:space="preserve"> above). </w:t>
      </w:r>
      <w:r w:rsidR="00345D28" w:rsidRPr="003E2514">
        <w:rPr>
          <w:bCs/>
        </w:rPr>
        <w:t xml:space="preserve">It </w:t>
      </w:r>
      <w:r w:rsidR="00C24F6F" w:rsidRPr="003E2514">
        <w:rPr>
          <w:bCs/>
        </w:rPr>
        <w:t>emerges</w:t>
      </w:r>
      <w:r w:rsidR="00345D28" w:rsidRPr="003E2514">
        <w:rPr>
          <w:bCs/>
        </w:rPr>
        <w:t xml:space="preserve"> from the </w:t>
      </w:r>
      <w:r w:rsidR="00247392" w:rsidRPr="003E2514">
        <w:rPr>
          <w:bCs/>
        </w:rPr>
        <w:t xml:space="preserve">domestic </w:t>
      </w:r>
      <w:r w:rsidR="008C3C2A" w:rsidRPr="003E2514">
        <w:rPr>
          <w:bCs/>
        </w:rPr>
        <w:t>court</w:t>
      </w:r>
      <w:r w:rsidR="003E2514" w:rsidRPr="003E2514">
        <w:rPr>
          <w:bCs/>
        </w:rPr>
        <w:t>’</w:t>
      </w:r>
      <w:r w:rsidR="008C3C2A" w:rsidRPr="003E2514">
        <w:rPr>
          <w:bCs/>
        </w:rPr>
        <w:t xml:space="preserve">s </w:t>
      </w:r>
      <w:r w:rsidR="00345D28" w:rsidRPr="003E2514">
        <w:rPr>
          <w:bCs/>
        </w:rPr>
        <w:t xml:space="preserve">findings that </w:t>
      </w:r>
      <w:r w:rsidR="00D45452" w:rsidRPr="003E2514">
        <w:rPr>
          <w:bCs/>
        </w:rPr>
        <w:t>“</w:t>
      </w:r>
      <w:r w:rsidR="00345D28" w:rsidRPr="003E2514">
        <w:rPr>
          <w:bCs/>
        </w:rPr>
        <w:t>problematic</w:t>
      </w:r>
      <w:r w:rsidR="00D45452" w:rsidRPr="003E2514">
        <w:rPr>
          <w:bCs/>
        </w:rPr>
        <w:t>”</w:t>
      </w:r>
      <w:r w:rsidR="00345D28" w:rsidRPr="003E2514">
        <w:rPr>
          <w:bCs/>
        </w:rPr>
        <w:t xml:space="preserve"> detainees were routinely</w:t>
      </w:r>
      <w:r w:rsidR="00CE414D" w:rsidRPr="003E2514">
        <w:t xml:space="preserve"> exposed to </w:t>
      </w:r>
      <w:r w:rsidR="00345D28" w:rsidRPr="003E2514">
        <w:t xml:space="preserve">punitive measures that exceeded the bounds of permitted disciplinary or security measures, </w:t>
      </w:r>
      <w:r w:rsidR="00345D28" w:rsidRPr="003E2514">
        <w:rPr>
          <w:bCs/>
        </w:rPr>
        <w:t>consisting of</w:t>
      </w:r>
      <w:r w:rsidR="00345D28" w:rsidRPr="003E2514">
        <w:rPr>
          <w:b/>
          <w:bCs/>
        </w:rPr>
        <w:t xml:space="preserve"> </w:t>
      </w:r>
      <w:r w:rsidR="00345D28" w:rsidRPr="003E2514">
        <w:rPr>
          <w:bCs/>
        </w:rPr>
        <w:t xml:space="preserve">placement in solitary confinement cells which in themselves were in a deplorable condition, and where they would be subjected to physical violence and material deprivations. The </w:t>
      </w:r>
      <w:r w:rsidR="00247392" w:rsidRPr="003E2514">
        <w:rPr>
          <w:bCs/>
        </w:rPr>
        <w:t>domestic</w:t>
      </w:r>
      <w:r w:rsidR="00345D28" w:rsidRPr="003E2514">
        <w:rPr>
          <w:bCs/>
        </w:rPr>
        <w:t xml:space="preserve"> court highlighted the existence of such a situation in the Asti prison beyond the events concerning the applicants, and provided an account of the practices described above in the text of the judgment (see paragraphs </w:t>
      </w:r>
      <w:r w:rsidR="00345D28" w:rsidRPr="003E2514">
        <w:rPr>
          <w:bCs/>
        </w:rPr>
        <w:fldChar w:fldCharType="begin"/>
      </w:r>
      <w:r w:rsidR="00345D28" w:rsidRPr="003E2514">
        <w:rPr>
          <w:bCs/>
        </w:rPr>
        <w:instrText xml:space="preserve"> REF Policy_ill_treatment \h  \* MERGEFORMAT </w:instrText>
      </w:r>
      <w:r w:rsidR="00345D28" w:rsidRPr="003E2514">
        <w:rPr>
          <w:bCs/>
        </w:rPr>
      </w:r>
      <w:r w:rsidR="00345D28" w:rsidRPr="003E2514">
        <w:rPr>
          <w:bCs/>
        </w:rPr>
        <w:fldChar w:fldCharType="separate"/>
      </w:r>
      <w:r w:rsidR="003E2514" w:rsidRPr="003E2514">
        <w:t>29</w:t>
      </w:r>
      <w:r w:rsidR="00345D28" w:rsidRPr="003E2514">
        <w:fldChar w:fldCharType="end"/>
      </w:r>
      <w:r w:rsidR="00256A16" w:rsidRPr="003E2514">
        <w:t xml:space="preserve"> </w:t>
      </w:r>
      <w:r w:rsidR="00345D28" w:rsidRPr="003E2514">
        <w:rPr>
          <w:bCs/>
        </w:rPr>
        <w:t>-</w:t>
      </w:r>
      <w:r w:rsidR="00256A16" w:rsidRPr="003E2514">
        <w:rPr>
          <w:bCs/>
        </w:rPr>
        <w:t xml:space="preserve"> </w:t>
      </w:r>
      <w:r w:rsidR="00345D28" w:rsidRPr="003E2514">
        <w:rPr>
          <w:bCs/>
        </w:rPr>
        <w:fldChar w:fldCharType="begin"/>
      </w:r>
      <w:r w:rsidR="00345D28" w:rsidRPr="003E2514">
        <w:rPr>
          <w:bCs/>
        </w:rPr>
        <w:instrText xml:space="preserve"> REF Policy_end \h  \* MERGEFORMAT </w:instrText>
      </w:r>
      <w:r w:rsidR="00345D28" w:rsidRPr="003E2514">
        <w:rPr>
          <w:bCs/>
        </w:rPr>
      </w:r>
      <w:r w:rsidR="00345D28" w:rsidRPr="003E2514">
        <w:rPr>
          <w:bCs/>
        </w:rPr>
        <w:fldChar w:fldCharType="separate"/>
      </w:r>
      <w:r w:rsidR="003E2514" w:rsidRPr="003E2514">
        <w:rPr>
          <w:bCs/>
        </w:rPr>
        <w:t>31</w:t>
      </w:r>
      <w:r w:rsidR="00345D28" w:rsidRPr="003E2514">
        <w:fldChar w:fldCharType="end"/>
      </w:r>
      <w:r w:rsidR="00345D28" w:rsidRPr="003E2514">
        <w:rPr>
          <w:bCs/>
        </w:rPr>
        <w:t xml:space="preserve"> above).</w:t>
      </w:r>
    </w:p>
    <w:p w:rsidR="00894C5B"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85</w:t>
      </w:r>
      <w:r w:rsidRPr="003E2514">
        <w:rPr>
          <w:noProof/>
        </w:rPr>
        <w:fldChar w:fldCharType="end"/>
      </w:r>
      <w:r w:rsidR="00894C5B" w:rsidRPr="003E2514">
        <w:t xml:space="preserve">.  The </w:t>
      </w:r>
      <w:r w:rsidR="00D04A95" w:rsidRPr="003E2514">
        <w:t>foregoing</w:t>
      </w:r>
      <w:r w:rsidR="00894C5B" w:rsidRPr="003E2514">
        <w:t xml:space="preserve"> considerations also </w:t>
      </w:r>
      <w:r w:rsidR="008142C4" w:rsidRPr="003E2514">
        <w:t>indicate</w:t>
      </w:r>
      <w:r w:rsidR="00894C5B" w:rsidRPr="003E2514">
        <w:t xml:space="preserve"> the existence of </w:t>
      </w:r>
      <w:r w:rsidR="006A2FD1" w:rsidRPr="003E2514">
        <w:t xml:space="preserve">a </w:t>
      </w:r>
      <w:r w:rsidR="00034847" w:rsidRPr="003E2514">
        <w:t>purposive element</w:t>
      </w:r>
      <w:r w:rsidR="00894C5B" w:rsidRPr="003E2514">
        <w:t xml:space="preserve"> underlying the impugned treatment, </w:t>
      </w:r>
      <w:r w:rsidR="00034847" w:rsidRPr="003E2514">
        <w:t xml:space="preserve">namely </w:t>
      </w:r>
      <w:r w:rsidR="00894C5B" w:rsidRPr="003E2514">
        <w:t>to punish the detainees, to enforce discipline and to</w:t>
      </w:r>
      <w:r w:rsidR="006D1F9C" w:rsidRPr="003E2514">
        <w:t xml:space="preserve"> </w:t>
      </w:r>
      <w:r w:rsidR="00894C5B" w:rsidRPr="003E2514">
        <w:t xml:space="preserve">deter future disorderly behaviour in the correctional facility (see paragraphs </w:t>
      </w:r>
      <w:r w:rsidR="00894C5B" w:rsidRPr="003E2514">
        <w:fldChar w:fldCharType="begin"/>
      </w:r>
      <w:r w:rsidR="00894C5B" w:rsidRPr="003E2514">
        <w:instrText xml:space="preserve"> REF Policy_ill_treatment \h  \* MERGEFORMAT </w:instrText>
      </w:r>
      <w:r w:rsidR="00894C5B" w:rsidRPr="003E2514">
        <w:fldChar w:fldCharType="separate"/>
      </w:r>
      <w:r w:rsidR="003E2514" w:rsidRPr="003E2514">
        <w:t>29</w:t>
      </w:r>
      <w:r w:rsidR="00894C5B" w:rsidRPr="003E2514">
        <w:fldChar w:fldCharType="end"/>
      </w:r>
      <w:r w:rsidR="00894C5B" w:rsidRPr="003E2514">
        <w:t xml:space="preserve"> and </w:t>
      </w:r>
      <w:r w:rsidR="00894C5B" w:rsidRPr="003E2514">
        <w:fldChar w:fldCharType="begin"/>
      </w:r>
      <w:r w:rsidR="00894C5B" w:rsidRPr="003E2514">
        <w:instrText xml:space="preserve"> REF First_Instance_Purpose \h  \* MERGEFORMAT </w:instrText>
      </w:r>
      <w:r w:rsidR="00894C5B" w:rsidRPr="003E2514">
        <w:fldChar w:fldCharType="separate"/>
      </w:r>
      <w:r w:rsidR="003E2514" w:rsidRPr="003E2514">
        <w:t>34</w:t>
      </w:r>
      <w:r w:rsidR="00894C5B" w:rsidRPr="003E2514">
        <w:fldChar w:fldCharType="end"/>
      </w:r>
      <w:r w:rsidR="00894C5B" w:rsidRPr="003E2514">
        <w:t xml:space="preserve"> above).</w:t>
      </w:r>
    </w:p>
    <w:p w:rsidR="003331EE" w:rsidRPr="003E2514" w:rsidRDefault="007834B3" w:rsidP="003E2514">
      <w:pPr>
        <w:pStyle w:val="ECHRHeading5"/>
      </w:pPr>
      <w:r w:rsidRPr="003E2514">
        <w:lastRenderedPageBreak/>
        <w:t>(iii)</w:t>
      </w:r>
      <w:r w:rsidR="00647D81" w:rsidRPr="003E2514">
        <w:t>  </w:t>
      </w:r>
      <w:r w:rsidR="003331EE" w:rsidRPr="003E2514">
        <w:t>Conclusion</w:t>
      </w:r>
    </w:p>
    <w:p w:rsidR="00B065F6" w:rsidRPr="003E2514" w:rsidRDefault="00B413B3"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86</w:t>
      </w:r>
      <w:r w:rsidRPr="003E2514">
        <w:rPr>
          <w:noProof/>
        </w:rPr>
        <w:fldChar w:fldCharType="end"/>
      </w:r>
      <w:r w:rsidR="00AC5E76" w:rsidRPr="003E2514">
        <w:t>.  </w:t>
      </w:r>
      <w:r w:rsidR="002B2442" w:rsidRPr="003E2514">
        <w:t xml:space="preserve">In </w:t>
      </w:r>
      <w:r w:rsidR="00AA0AB3" w:rsidRPr="003E2514">
        <w:t>view of</w:t>
      </w:r>
      <w:r w:rsidR="002B2442" w:rsidRPr="003E2514">
        <w:t xml:space="preserve"> the </w:t>
      </w:r>
      <w:r w:rsidR="005B1920" w:rsidRPr="003E2514">
        <w:t>above</w:t>
      </w:r>
      <w:r w:rsidR="002D6B1A" w:rsidRPr="003E2514">
        <w:t>,</w:t>
      </w:r>
      <w:r w:rsidR="002B2442" w:rsidRPr="003E2514">
        <w:t xml:space="preserve"> </w:t>
      </w:r>
      <w:r w:rsidR="001147C1" w:rsidRPr="003E2514">
        <w:t>the Court</w:t>
      </w:r>
      <w:r w:rsidR="0058004A" w:rsidRPr="003E2514">
        <w:t xml:space="preserve"> </w:t>
      </w:r>
      <w:r w:rsidR="00271DA6" w:rsidRPr="003E2514">
        <w:t xml:space="preserve">is </w:t>
      </w:r>
      <w:r w:rsidRPr="003E2514">
        <w:t>persuaded</w:t>
      </w:r>
      <w:r w:rsidR="00B65A1A" w:rsidRPr="003E2514">
        <w:t xml:space="preserve"> that the </w:t>
      </w:r>
      <w:r w:rsidR="00F409E5" w:rsidRPr="003E2514">
        <w:t xml:space="preserve">treatment </w:t>
      </w:r>
      <w:r w:rsidR="003E7C21" w:rsidRPr="003E2514">
        <w:t>to which the applicant</w:t>
      </w:r>
      <w:r w:rsidR="000F2E9A" w:rsidRPr="003E2514">
        <w:t>s were subjected</w:t>
      </w:r>
      <w:r w:rsidR="00061DE4" w:rsidRPr="003E2514">
        <w:t xml:space="preserve"> </w:t>
      </w:r>
      <w:r w:rsidR="00B65A1A" w:rsidRPr="003E2514">
        <w:t>attained the level of severity</w:t>
      </w:r>
      <w:r w:rsidR="00271DA6" w:rsidRPr="003E2514">
        <w:t xml:space="preserve"> required</w:t>
      </w:r>
      <w:r w:rsidR="00B65A1A" w:rsidRPr="003E2514">
        <w:t xml:space="preserve"> to bring the impugned conduct within the scope of Article 3</w:t>
      </w:r>
      <w:r w:rsidR="00A5759E" w:rsidRPr="003E2514">
        <w:t>, and that it amounted to torture</w:t>
      </w:r>
      <w:r w:rsidR="00B65A1A" w:rsidRPr="003E2514">
        <w:t>.</w:t>
      </w:r>
    </w:p>
    <w:bookmarkStart w:id="26" w:name="Substantive_reasoning_end"/>
    <w:p w:rsidR="00986D96" w:rsidRPr="003E2514" w:rsidRDefault="002F41B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87</w:t>
      </w:r>
      <w:r w:rsidRPr="003E2514">
        <w:fldChar w:fldCharType="end"/>
      </w:r>
      <w:bookmarkEnd w:id="26"/>
      <w:r w:rsidRPr="003E2514">
        <w:t>.  </w:t>
      </w:r>
      <w:r w:rsidR="00014566" w:rsidRPr="003E2514">
        <w:t xml:space="preserve">There has accordingly been a violation of Article </w:t>
      </w:r>
      <w:r w:rsidR="006C02DF" w:rsidRPr="003E2514">
        <w:t>3</w:t>
      </w:r>
      <w:r w:rsidR="00014566" w:rsidRPr="003E2514">
        <w:t xml:space="preserve"> of the Convention</w:t>
      </w:r>
      <w:r w:rsidR="006C02DF" w:rsidRPr="003E2514">
        <w:t xml:space="preserve"> in its substantive aspect</w:t>
      </w:r>
      <w:r w:rsidR="00014566" w:rsidRPr="003E2514">
        <w:t>.</w:t>
      </w:r>
    </w:p>
    <w:p w:rsidR="00014566" w:rsidRPr="003E2514" w:rsidRDefault="00C44039" w:rsidP="003E2514">
      <w:pPr>
        <w:pStyle w:val="ECHRHeading1"/>
      </w:pPr>
      <w:r w:rsidRPr="003E2514">
        <w:t>I</w:t>
      </w:r>
      <w:r w:rsidR="00855F88" w:rsidRPr="003E2514">
        <w:t>V</w:t>
      </w:r>
      <w:r w:rsidR="00014566" w:rsidRPr="003E2514">
        <w:t>.</w:t>
      </w:r>
      <w:r w:rsidR="009F1BA9" w:rsidRPr="003E2514">
        <w:t> </w:t>
      </w:r>
      <w:r w:rsidR="00647D81" w:rsidRPr="003E2514">
        <w:t> </w:t>
      </w:r>
      <w:r w:rsidR="009F1BA9" w:rsidRPr="003E2514">
        <w:t>ALLEGED</w:t>
      </w:r>
      <w:r w:rsidR="00014566" w:rsidRPr="003E2514">
        <w:t xml:space="preserve"> VIOLATION OF ARTICLE </w:t>
      </w:r>
      <w:r w:rsidR="00A3106A" w:rsidRPr="003E2514">
        <w:t>3</w:t>
      </w:r>
      <w:r w:rsidR="00014566" w:rsidRPr="003E2514">
        <w:t xml:space="preserve"> OF THE CONVENTION</w:t>
      </w:r>
      <w:r w:rsidR="00A3106A" w:rsidRPr="003E2514">
        <w:t xml:space="preserve"> IN ITS PROCEDURAL ASPECT</w:t>
      </w:r>
    </w:p>
    <w:p w:rsidR="00B14E01" w:rsidRPr="003E2514" w:rsidRDefault="00B14E01"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88</w:t>
      </w:r>
      <w:r w:rsidRPr="003E2514">
        <w:fldChar w:fldCharType="end"/>
      </w:r>
      <w:r w:rsidRPr="003E2514">
        <w:t>.  </w:t>
      </w:r>
      <w:r w:rsidR="001B13A7" w:rsidRPr="003E2514">
        <w:t>The applicants complained that they</w:t>
      </w:r>
      <w:r w:rsidR="00D523B6" w:rsidRPr="003E2514">
        <w:t xml:space="preserve"> </w:t>
      </w:r>
      <w:r w:rsidR="00A00369" w:rsidRPr="003E2514">
        <w:t xml:space="preserve">had </w:t>
      </w:r>
      <w:r w:rsidR="001B13A7" w:rsidRPr="003E2514">
        <w:t>suf</w:t>
      </w:r>
      <w:r w:rsidR="00D523B6" w:rsidRPr="003E2514">
        <w:t xml:space="preserve">fered a </w:t>
      </w:r>
      <w:r w:rsidR="00271DA6" w:rsidRPr="003E2514">
        <w:t xml:space="preserve">further </w:t>
      </w:r>
      <w:r w:rsidR="00D523B6" w:rsidRPr="003E2514">
        <w:t xml:space="preserve">violation of Article 3 </w:t>
      </w:r>
      <w:r w:rsidR="001B13A7" w:rsidRPr="003E2514">
        <w:t xml:space="preserve">in that the penalty imposed on those responsible for the acts of which </w:t>
      </w:r>
      <w:r w:rsidR="00341D6C" w:rsidRPr="003E2514">
        <w:t>they</w:t>
      </w:r>
      <w:r w:rsidR="001B13A7" w:rsidRPr="003E2514">
        <w:t xml:space="preserve"> w</w:t>
      </w:r>
      <w:r w:rsidR="00341D6C" w:rsidRPr="003E2514">
        <w:t>ere</w:t>
      </w:r>
      <w:r w:rsidR="001B13A7" w:rsidRPr="003E2514">
        <w:t xml:space="preserve"> complaining had been inadequate owing, in particular, to the t</w:t>
      </w:r>
      <w:r w:rsidR="00A00369" w:rsidRPr="003E2514">
        <w:t>im</w:t>
      </w:r>
      <w:r w:rsidR="001B13A7" w:rsidRPr="003E2514">
        <w:t>e-barring in</w:t>
      </w:r>
      <w:r w:rsidR="00A00369" w:rsidRPr="003E2514">
        <w:t xml:space="preserve"> the course of</w:t>
      </w:r>
      <w:r w:rsidR="001B13A7" w:rsidRPr="003E2514">
        <w:t xml:space="preserve"> the criminal proceedings. </w:t>
      </w:r>
      <w:r w:rsidR="00341D6C" w:rsidRPr="003E2514">
        <w:t>They</w:t>
      </w:r>
      <w:r w:rsidR="001B13A7" w:rsidRPr="003E2514">
        <w:t xml:space="preserve"> emphasised that by failing to </w:t>
      </w:r>
      <w:r w:rsidR="00341D6C" w:rsidRPr="003E2514">
        <w:t>introduce</w:t>
      </w:r>
      <w:r w:rsidR="001B13A7" w:rsidRPr="003E2514">
        <w:t xml:space="preserve"> </w:t>
      </w:r>
      <w:r w:rsidR="00271DA6" w:rsidRPr="003E2514">
        <w:t>the</w:t>
      </w:r>
      <w:r w:rsidR="001B13A7" w:rsidRPr="003E2514">
        <w:t xml:space="preserve"> offence of torture</w:t>
      </w:r>
      <w:r w:rsidR="00341D6C" w:rsidRPr="003E2514">
        <w:t xml:space="preserve"> in</w:t>
      </w:r>
      <w:r w:rsidR="00A00369" w:rsidRPr="003E2514">
        <w:t>to</w:t>
      </w:r>
      <w:r w:rsidR="00341D6C" w:rsidRPr="003E2514">
        <w:t xml:space="preserve"> the Italian legal framework and</w:t>
      </w:r>
      <w:r w:rsidR="001B13A7" w:rsidRPr="003E2514">
        <w:t xml:space="preserve"> to provide for an appropriate penalty for that offence, the State had failed to take the necessary steps to prevent the ill-treatment which </w:t>
      </w:r>
      <w:r w:rsidR="00341D6C" w:rsidRPr="003E2514">
        <w:t>they</w:t>
      </w:r>
      <w:r w:rsidR="001B13A7" w:rsidRPr="003E2514">
        <w:t xml:space="preserve"> had suffered.</w:t>
      </w:r>
    </w:p>
    <w:p w:rsidR="00737DD7" w:rsidRPr="003E2514" w:rsidRDefault="00B14E01" w:rsidP="003E2514">
      <w:pPr>
        <w:pStyle w:val="ECHRPara"/>
        <w:rPr>
          <w:i/>
        </w:rPr>
      </w:pPr>
      <w:r w:rsidRPr="003E2514">
        <w:fldChar w:fldCharType="begin"/>
      </w:r>
      <w:r w:rsidRPr="003E2514">
        <w:instrText xml:space="preserve"> SEQ level0 \*arabic </w:instrText>
      </w:r>
      <w:r w:rsidRPr="003E2514">
        <w:fldChar w:fldCharType="separate"/>
      </w:r>
      <w:r w:rsidR="003E2514" w:rsidRPr="003E2514">
        <w:rPr>
          <w:noProof/>
        </w:rPr>
        <w:t>89</w:t>
      </w:r>
      <w:r w:rsidRPr="003E2514">
        <w:fldChar w:fldCharType="end"/>
      </w:r>
      <w:r w:rsidRPr="003E2514">
        <w:t>.  </w:t>
      </w:r>
      <w:r w:rsidR="00737DD7" w:rsidRPr="003E2514">
        <w:t xml:space="preserve">As regards the alleged shortcomings in the investigation deriving, in particular, from the absence of an offence of torture </w:t>
      </w:r>
      <w:r w:rsidR="00271DA6" w:rsidRPr="003E2514">
        <w:t xml:space="preserve">in </w:t>
      </w:r>
      <w:r w:rsidR="00737DD7" w:rsidRPr="003E2514">
        <w:t>the Italian legal system, the applicant</w:t>
      </w:r>
      <w:r w:rsidR="00437793" w:rsidRPr="003E2514">
        <w:t>s</w:t>
      </w:r>
      <w:r w:rsidR="00737DD7" w:rsidRPr="003E2514">
        <w:t xml:space="preserve"> also relied on Article 13 of the Convention, alone and in conjunction with Article 3.</w:t>
      </w:r>
      <w:r w:rsidR="005365F7" w:rsidRPr="003E2514">
        <w:t xml:space="preserve"> However, </w:t>
      </w:r>
      <w:r w:rsidR="00737DD7" w:rsidRPr="003E2514">
        <w:t xml:space="preserve">the Court considers that it should examine the issue of the lack of an effective investigation into the alleged ill-treatment solely under the procedural </w:t>
      </w:r>
      <w:r w:rsidR="00596C08" w:rsidRPr="003E2514">
        <w:t>limb</w:t>
      </w:r>
      <w:r w:rsidR="00737DD7" w:rsidRPr="003E2514">
        <w:t xml:space="preserve"> of Article 3 of the Convention</w:t>
      </w:r>
      <w:r w:rsidR="0047216F" w:rsidRPr="003E2514">
        <w:t>.</w:t>
      </w:r>
    </w:p>
    <w:p w:rsidR="00225603" w:rsidRPr="003E2514" w:rsidRDefault="00225603" w:rsidP="003E2514">
      <w:pPr>
        <w:pStyle w:val="ECHRHeading2"/>
      </w:pPr>
      <w:r w:rsidRPr="003E2514">
        <w:t>A.  Admissibility</w:t>
      </w:r>
    </w:p>
    <w:p w:rsidR="00225603" w:rsidRPr="003E2514" w:rsidRDefault="000336BC"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90</w:t>
      </w:r>
      <w:r w:rsidRPr="003E2514">
        <w:fldChar w:fldCharType="end"/>
      </w:r>
      <w:r w:rsidRPr="003E2514">
        <w:t>.  </w:t>
      </w:r>
      <w:r w:rsidR="00225603" w:rsidRPr="003E2514">
        <w:t>The Court notes that this complaint is not manifestly ill-founded within the meaning of Article 35 § 3 (a) of the Convention. It further notes that it is not inadmissible on any other grounds. It must therefore be declared admissible.</w:t>
      </w:r>
    </w:p>
    <w:p w:rsidR="00225603" w:rsidRPr="003E2514" w:rsidRDefault="00225603" w:rsidP="003E2514">
      <w:pPr>
        <w:pStyle w:val="ECHRHeading2"/>
      </w:pPr>
      <w:r w:rsidRPr="003E2514">
        <w:t>B.  Merits</w:t>
      </w:r>
    </w:p>
    <w:p w:rsidR="00445D54" w:rsidRPr="003E2514" w:rsidRDefault="004B5EEA" w:rsidP="003E2514">
      <w:pPr>
        <w:pStyle w:val="ECHRHeading3"/>
      </w:pPr>
      <w:r w:rsidRPr="003E2514">
        <w:t>1.  </w:t>
      </w:r>
      <w:r w:rsidR="00445D54" w:rsidRPr="003E2514">
        <w:t>The parties</w:t>
      </w:r>
      <w:r w:rsidR="003E2514" w:rsidRPr="003E2514">
        <w:t>’</w:t>
      </w:r>
      <w:r w:rsidR="00445D54" w:rsidRPr="003E2514">
        <w:t xml:space="preserve"> submissions</w:t>
      </w:r>
    </w:p>
    <w:p w:rsidR="000328FD" w:rsidRPr="003E2514" w:rsidRDefault="004B5EEA" w:rsidP="003E2514">
      <w:pPr>
        <w:pStyle w:val="ECHRHeading4"/>
      </w:pPr>
      <w:r w:rsidRPr="003E2514">
        <w:t>(a) </w:t>
      </w:r>
      <w:r w:rsidR="007834B3" w:rsidRPr="003E2514">
        <w:t> </w:t>
      </w:r>
      <w:r w:rsidR="000328FD" w:rsidRPr="003E2514">
        <w:t>The applicants</w:t>
      </w:r>
    </w:p>
    <w:p w:rsidR="00986D96" w:rsidRPr="003E2514" w:rsidRDefault="006624F7"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91</w:t>
      </w:r>
      <w:r w:rsidRPr="003E2514">
        <w:fldChar w:fldCharType="end"/>
      </w:r>
      <w:r w:rsidRPr="003E2514">
        <w:t>.  </w:t>
      </w:r>
      <w:r w:rsidR="000328FD" w:rsidRPr="003E2514">
        <w:t>The applicant</w:t>
      </w:r>
      <w:r w:rsidR="006B05DB" w:rsidRPr="003E2514">
        <w:t>s</w:t>
      </w:r>
      <w:r w:rsidR="000328FD" w:rsidRPr="003E2514">
        <w:t xml:space="preserve"> submitted that</w:t>
      </w:r>
      <w:r w:rsidR="00271DA6" w:rsidRPr="003E2514">
        <w:t>,</w:t>
      </w:r>
      <w:r w:rsidR="000328FD" w:rsidRPr="003E2514">
        <w:t xml:space="preserve"> </w:t>
      </w:r>
      <w:r w:rsidR="00976840" w:rsidRPr="003E2514">
        <w:t>following</w:t>
      </w:r>
      <w:r w:rsidR="00271DA6" w:rsidRPr="003E2514">
        <w:t xml:space="preserve"> the</w:t>
      </w:r>
      <w:r w:rsidR="00976840" w:rsidRPr="003E2514">
        <w:t xml:space="preserve"> </w:t>
      </w:r>
      <w:r w:rsidR="000328FD" w:rsidRPr="003E2514">
        <w:t>criminal proceedings</w:t>
      </w:r>
      <w:r w:rsidR="00271DA6" w:rsidRPr="003E2514">
        <w:t>,</w:t>
      </w:r>
      <w:r w:rsidR="000328FD" w:rsidRPr="003E2514">
        <w:t xml:space="preserve"> the </w:t>
      </w:r>
      <w:r w:rsidR="00732C91" w:rsidRPr="003E2514">
        <w:t>first</w:t>
      </w:r>
      <w:r w:rsidR="002A1BEA" w:rsidRPr="003E2514">
        <w:t>-instance</w:t>
      </w:r>
      <w:r w:rsidR="000328FD" w:rsidRPr="003E2514">
        <w:t xml:space="preserve"> court had recognised the </w:t>
      </w:r>
      <w:r w:rsidR="00481E05" w:rsidRPr="003E2514">
        <w:t>seriousness</w:t>
      </w:r>
      <w:r w:rsidR="000328FD" w:rsidRPr="003E2514">
        <w:t xml:space="preserve"> of the ill-treatment </w:t>
      </w:r>
      <w:r w:rsidR="00271DA6" w:rsidRPr="003E2514">
        <w:t xml:space="preserve">to </w:t>
      </w:r>
      <w:r w:rsidR="000328FD" w:rsidRPr="003E2514">
        <w:t xml:space="preserve">which </w:t>
      </w:r>
      <w:r w:rsidR="00481E05" w:rsidRPr="003E2514">
        <w:t>they</w:t>
      </w:r>
      <w:r w:rsidR="000328FD" w:rsidRPr="003E2514">
        <w:t xml:space="preserve"> had </w:t>
      </w:r>
      <w:r w:rsidR="00481E05" w:rsidRPr="003E2514">
        <w:t>been subjected</w:t>
      </w:r>
      <w:r w:rsidR="000328FD" w:rsidRPr="003E2514">
        <w:t>, but that those responsible for that ill</w:t>
      </w:r>
      <w:r w:rsidR="00A00369" w:rsidRPr="003E2514">
        <w:noBreakHyphen/>
      </w:r>
      <w:r w:rsidR="000328FD" w:rsidRPr="003E2514">
        <w:t>treatment</w:t>
      </w:r>
      <w:r w:rsidR="00F8233F" w:rsidRPr="003E2514">
        <w:t xml:space="preserve"> had not been punished</w:t>
      </w:r>
      <w:r w:rsidR="000328FD" w:rsidRPr="003E2514">
        <w:t xml:space="preserve">. </w:t>
      </w:r>
      <w:r w:rsidR="00F8233F" w:rsidRPr="003E2514">
        <w:t>This occurred because the</w:t>
      </w:r>
      <w:r w:rsidR="000328FD" w:rsidRPr="003E2514">
        <w:t xml:space="preserve"> offences</w:t>
      </w:r>
      <w:r w:rsidR="00F8233F" w:rsidRPr="003E2514">
        <w:t xml:space="preserve"> </w:t>
      </w:r>
      <w:r w:rsidR="00271DA6" w:rsidRPr="003E2514">
        <w:lastRenderedPageBreak/>
        <w:t xml:space="preserve">with which </w:t>
      </w:r>
      <w:r w:rsidR="00F8233F" w:rsidRPr="003E2514">
        <w:t xml:space="preserve">the prison officers had been charged </w:t>
      </w:r>
      <w:r w:rsidR="00BF505B" w:rsidRPr="003E2514">
        <w:t>pursuant to the Italian Criminal Code</w:t>
      </w:r>
      <w:r w:rsidR="000328FD" w:rsidRPr="003E2514">
        <w:t xml:space="preserve"> had become time-barred during the criminal proceedings.</w:t>
      </w:r>
    </w:p>
    <w:p w:rsidR="004671C7" w:rsidRPr="003E2514" w:rsidRDefault="004671C7"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92</w:t>
      </w:r>
      <w:r w:rsidRPr="003E2514">
        <w:fldChar w:fldCharType="end"/>
      </w:r>
      <w:r w:rsidRPr="003E2514">
        <w:t>.  They</w:t>
      </w:r>
      <w:r w:rsidR="00D55F0F" w:rsidRPr="003E2514">
        <w:t xml:space="preserve"> submitted that the Italian legal framework </w:t>
      </w:r>
      <w:r w:rsidR="00271DA6" w:rsidRPr="003E2514">
        <w:t xml:space="preserve">had </w:t>
      </w:r>
      <w:r w:rsidR="00D55F0F" w:rsidRPr="003E2514">
        <w:t xml:space="preserve">proved to be inadequate for the purposes of punishing acts of torture and providing the necessary deterrent effect to </w:t>
      </w:r>
      <w:r w:rsidR="00732C91" w:rsidRPr="003E2514">
        <w:t>prevent similar violations from occurring in the future.</w:t>
      </w:r>
      <w:r w:rsidR="000028CE" w:rsidRPr="003E2514">
        <w:t xml:space="preserve"> The</w:t>
      </w:r>
      <w:r w:rsidR="00A00369" w:rsidRPr="003E2514">
        <w:t>y</w:t>
      </w:r>
      <w:r w:rsidR="000028CE" w:rsidRPr="003E2514">
        <w:t xml:space="preserve"> contended that Italy</w:t>
      </w:r>
      <w:r w:rsidRPr="003E2514">
        <w:t xml:space="preserve"> </w:t>
      </w:r>
      <w:r w:rsidR="00271DA6" w:rsidRPr="003E2514">
        <w:t>must</w:t>
      </w:r>
      <w:r w:rsidRPr="003E2514">
        <w:t xml:space="preserve"> establish a legal framework capable of protecting the rights </w:t>
      </w:r>
      <w:r w:rsidR="006866CB" w:rsidRPr="003E2514">
        <w:t>enshrined in</w:t>
      </w:r>
      <w:r w:rsidR="009F2784" w:rsidRPr="003E2514">
        <w:t xml:space="preserve"> Article 3 of the Convention, </w:t>
      </w:r>
      <w:r w:rsidRPr="003E2514">
        <w:t xml:space="preserve">and criticised the Italian State for having failed to classify as offences all </w:t>
      </w:r>
      <w:r w:rsidR="00F738DC" w:rsidRPr="003E2514">
        <w:t>forms of ill</w:t>
      </w:r>
      <w:r w:rsidR="00271DA6" w:rsidRPr="003E2514">
        <w:noBreakHyphen/>
      </w:r>
      <w:r w:rsidR="00F738DC" w:rsidRPr="003E2514">
        <w:t>treatment</w:t>
      </w:r>
      <w:r w:rsidRPr="003E2514">
        <w:t xml:space="preserve"> </w:t>
      </w:r>
      <w:r w:rsidR="00F738DC" w:rsidRPr="003E2514">
        <w:t>which constitute</w:t>
      </w:r>
      <w:r w:rsidRPr="003E2514">
        <w:t xml:space="preserve"> torture or inhuman or degrading treatment</w:t>
      </w:r>
      <w:r w:rsidR="00271DA6" w:rsidRPr="003E2514">
        <w:t>.</w:t>
      </w:r>
      <w:r w:rsidRPr="003E2514">
        <w:t xml:space="preserve"> </w:t>
      </w:r>
      <w:r w:rsidR="00271DA6" w:rsidRPr="003E2514">
        <w:t xml:space="preserve">This </w:t>
      </w:r>
      <w:r w:rsidRPr="003E2514">
        <w:t>was, moreover, contrary to</w:t>
      </w:r>
      <w:r w:rsidR="000028CE" w:rsidRPr="003E2514">
        <w:t xml:space="preserve"> Italy</w:t>
      </w:r>
      <w:r w:rsidR="003E2514" w:rsidRPr="003E2514">
        <w:t>’</w:t>
      </w:r>
      <w:r w:rsidR="000028CE" w:rsidRPr="003E2514">
        <w:t xml:space="preserve">s international commitments, in particular those arising from the ratification of the </w:t>
      </w:r>
      <w:r w:rsidR="00592940" w:rsidRPr="003E2514">
        <w:t>U</w:t>
      </w:r>
      <w:r w:rsidR="007E1E29" w:rsidRPr="003E2514">
        <w:t xml:space="preserve">nited </w:t>
      </w:r>
      <w:r w:rsidR="00592940" w:rsidRPr="003E2514">
        <w:t>N</w:t>
      </w:r>
      <w:r w:rsidR="007E1E29" w:rsidRPr="003E2514">
        <w:t>ations</w:t>
      </w:r>
      <w:r w:rsidR="00592940" w:rsidRPr="003E2514">
        <w:t xml:space="preserve"> </w:t>
      </w:r>
      <w:r w:rsidR="000028CE" w:rsidRPr="003E2514">
        <w:t>Convention against Torture and Other Cruel, Inhuman or De</w:t>
      </w:r>
      <w:r w:rsidR="00F07365" w:rsidRPr="003E2514">
        <w:t>grading Treatment or Punishment.</w:t>
      </w:r>
    </w:p>
    <w:p w:rsidR="004671C7" w:rsidRPr="003E2514" w:rsidRDefault="00037FD7"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93</w:t>
      </w:r>
      <w:r w:rsidRPr="003E2514">
        <w:fldChar w:fldCharType="end"/>
      </w:r>
      <w:r w:rsidRPr="003E2514">
        <w:t>.  </w:t>
      </w:r>
      <w:r w:rsidR="004671C7" w:rsidRPr="003E2514">
        <w:t xml:space="preserve">They thus </w:t>
      </w:r>
      <w:r w:rsidRPr="003E2514">
        <w:t>concluded</w:t>
      </w:r>
      <w:r w:rsidR="004671C7" w:rsidRPr="003E2514">
        <w:t xml:space="preserve"> that the State had not taken the </w:t>
      </w:r>
      <w:r w:rsidR="00271DA6" w:rsidRPr="003E2514">
        <w:t xml:space="preserve">necessary </w:t>
      </w:r>
      <w:r w:rsidR="004671C7" w:rsidRPr="003E2514">
        <w:t xml:space="preserve">steps to prevent the acts </w:t>
      </w:r>
      <w:r w:rsidR="009F2784" w:rsidRPr="003E2514">
        <w:t>of</w:t>
      </w:r>
      <w:r w:rsidR="004671C7" w:rsidRPr="003E2514">
        <w:t xml:space="preserve"> torture which they had suffered and to criminalise them in an appropriate manner.</w:t>
      </w:r>
    </w:p>
    <w:p w:rsidR="00986D96" w:rsidRPr="003E2514" w:rsidRDefault="001D4426"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94</w:t>
      </w:r>
      <w:r w:rsidRPr="003E2514">
        <w:fldChar w:fldCharType="end"/>
      </w:r>
      <w:r w:rsidRPr="003E2514">
        <w:t>.  </w:t>
      </w:r>
      <w:r w:rsidR="00E47669" w:rsidRPr="003E2514">
        <w:t>The second applicant observed</w:t>
      </w:r>
      <w:r w:rsidR="000028CE" w:rsidRPr="003E2514">
        <w:t>, in particular,</w:t>
      </w:r>
      <w:r w:rsidR="00E47669" w:rsidRPr="003E2514">
        <w:t xml:space="preserve"> that the impossibility o</w:t>
      </w:r>
      <w:r w:rsidR="00271DA6" w:rsidRPr="003E2514">
        <w:t>f</w:t>
      </w:r>
      <w:r w:rsidR="00E47669" w:rsidRPr="003E2514">
        <w:t xml:space="preserve"> punish</w:t>
      </w:r>
      <w:r w:rsidR="00271DA6" w:rsidRPr="003E2514">
        <w:t>ing</w:t>
      </w:r>
      <w:r w:rsidR="000028CE" w:rsidRPr="003E2514">
        <w:t xml:space="preserve"> those responsible for acts of torture </w:t>
      </w:r>
      <w:r w:rsidR="00271DA6" w:rsidRPr="003E2514">
        <w:t xml:space="preserve">as a result </w:t>
      </w:r>
      <w:r w:rsidR="000028CE" w:rsidRPr="003E2514">
        <w:t>o</w:t>
      </w:r>
      <w:r w:rsidR="00271DA6" w:rsidRPr="003E2514">
        <w:t>f</w:t>
      </w:r>
      <w:r w:rsidR="000028CE" w:rsidRPr="003E2514">
        <w:t xml:space="preserve"> the shortcomings in the Italian system runs the risk of </w:t>
      </w:r>
      <w:r w:rsidR="00073C89" w:rsidRPr="003E2514">
        <w:t>supporting</w:t>
      </w:r>
      <w:r w:rsidR="00D55F0F" w:rsidRPr="003E2514">
        <w:t xml:space="preserve"> a practice</w:t>
      </w:r>
      <w:r w:rsidR="001E7D17" w:rsidRPr="003E2514">
        <w:t>s</w:t>
      </w:r>
      <w:r w:rsidR="00D55F0F" w:rsidRPr="003E2514">
        <w:t xml:space="preserve"> </w:t>
      </w:r>
      <w:r w:rsidR="001E7D17" w:rsidRPr="003E2514">
        <w:t>that are widespread</w:t>
      </w:r>
      <w:r w:rsidR="00D55F0F" w:rsidRPr="003E2514">
        <w:t xml:space="preserve"> and </w:t>
      </w:r>
      <w:r w:rsidR="00073C89" w:rsidRPr="003E2514">
        <w:t xml:space="preserve">nurturing </w:t>
      </w:r>
      <w:r w:rsidR="00A14B85" w:rsidRPr="003E2514">
        <w:t xml:space="preserve">a system </w:t>
      </w:r>
      <w:r w:rsidR="00271DA6" w:rsidRPr="003E2514">
        <w:t xml:space="preserve">that </w:t>
      </w:r>
      <w:r w:rsidR="00AC0368" w:rsidRPr="003E2514">
        <w:t xml:space="preserve">tolerates </w:t>
      </w:r>
      <w:r w:rsidR="00D55F0F" w:rsidRPr="003E2514">
        <w:t>impunity.</w:t>
      </w:r>
    </w:p>
    <w:bookmarkStart w:id="27" w:name="app_sosp"/>
    <w:p w:rsidR="00986D96" w:rsidRPr="003E2514" w:rsidRDefault="0094059E"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95</w:t>
      </w:r>
      <w:r w:rsidRPr="003E2514">
        <w:fldChar w:fldCharType="end"/>
      </w:r>
      <w:bookmarkEnd w:id="27"/>
      <w:r w:rsidRPr="003E2514">
        <w:t>.  </w:t>
      </w:r>
      <w:r w:rsidR="006B63AE" w:rsidRPr="003E2514">
        <w:t xml:space="preserve">As regards disciplinary proceedings </w:t>
      </w:r>
      <w:r w:rsidR="00F9797F" w:rsidRPr="003E2514">
        <w:t xml:space="preserve">against the </w:t>
      </w:r>
      <w:r w:rsidR="00352ED3" w:rsidRPr="003E2514">
        <w:t>prison</w:t>
      </w:r>
      <w:r w:rsidR="00F9797F" w:rsidRPr="003E2514">
        <w:t xml:space="preserve"> officers, </w:t>
      </w:r>
      <w:r w:rsidR="00B043AA" w:rsidRPr="003E2514">
        <w:t>the applicants acknowledge</w:t>
      </w:r>
      <w:r w:rsidR="005659C5" w:rsidRPr="003E2514">
        <w:t>d</w:t>
      </w:r>
      <w:r w:rsidR="00B043AA" w:rsidRPr="003E2514">
        <w:t xml:space="preserve"> </w:t>
      </w:r>
      <w:r w:rsidR="005659C5" w:rsidRPr="003E2514">
        <w:t xml:space="preserve">that </w:t>
      </w:r>
      <w:r w:rsidR="00B043AA" w:rsidRPr="003E2514">
        <w:t>disciplinary measures</w:t>
      </w:r>
      <w:r w:rsidR="005659C5" w:rsidRPr="003E2514">
        <w:t xml:space="preserve"> </w:t>
      </w:r>
      <w:r w:rsidR="00AC0368" w:rsidRPr="003E2514">
        <w:t xml:space="preserve">had been </w:t>
      </w:r>
      <w:r w:rsidR="00B043AA" w:rsidRPr="003E2514">
        <w:t>taken against the</w:t>
      </w:r>
      <w:r w:rsidR="00271DA6" w:rsidRPr="003E2514">
        <w:t>m</w:t>
      </w:r>
      <w:r w:rsidR="00B043AA" w:rsidRPr="003E2514">
        <w:t xml:space="preserve">. However, they observed that </w:t>
      </w:r>
      <w:r w:rsidR="00F9797F" w:rsidRPr="003E2514">
        <w:t xml:space="preserve">the </w:t>
      </w:r>
      <w:r w:rsidR="00AC0368" w:rsidRPr="003E2514">
        <w:t xml:space="preserve">evidentiary </w:t>
      </w:r>
      <w:r w:rsidR="00F9797F" w:rsidRPr="003E2514">
        <w:t xml:space="preserve">material submitted by the Government </w:t>
      </w:r>
      <w:r w:rsidR="00271DA6" w:rsidRPr="003E2514">
        <w:t>reveals</w:t>
      </w:r>
      <w:r w:rsidR="00F9797F" w:rsidRPr="003E2514">
        <w:t xml:space="preserve"> that the officers were not </w:t>
      </w:r>
      <w:r w:rsidR="00352ED3" w:rsidRPr="003E2514">
        <w:t>suspended</w:t>
      </w:r>
      <w:r w:rsidR="00F9797F" w:rsidRPr="003E2514">
        <w:t xml:space="preserve"> from duty</w:t>
      </w:r>
      <w:r w:rsidR="00271DA6" w:rsidRPr="003E2514">
        <w:t xml:space="preserve"> during the investigation and the criminal proceedings</w:t>
      </w:r>
      <w:r w:rsidR="00F9797F" w:rsidRPr="003E2514">
        <w:t>.</w:t>
      </w:r>
    </w:p>
    <w:p w:rsidR="000328FD" w:rsidRPr="003E2514" w:rsidRDefault="000328FD"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96</w:t>
      </w:r>
      <w:r w:rsidRPr="003E2514">
        <w:fldChar w:fldCharType="end"/>
      </w:r>
      <w:r w:rsidRPr="003E2514">
        <w:t>.  </w:t>
      </w:r>
      <w:r w:rsidR="002B5D7C" w:rsidRPr="003E2514">
        <w:t>In the light of the foregoing</w:t>
      </w:r>
      <w:r w:rsidRPr="003E2514">
        <w:t xml:space="preserve">, </w:t>
      </w:r>
      <w:r w:rsidR="00A21627" w:rsidRPr="003E2514">
        <w:t xml:space="preserve">the applicants </w:t>
      </w:r>
      <w:r w:rsidR="00271DA6" w:rsidRPr="003E2514">
        <w:t>alleg</w:t>
      </w:r>
      <w:r w:rsidR="00A21627" w:rsidRPr="003E2514">
        <w:t xml:space="preserve">ed that the Italian State had failed to comply with the requirements of </w:t>
      </w:r>
      <w:r w:rsidRPr="003E2514">
        <w:t xml:space="preserve">Article 3 of the Convention, </w:t>
      </w:r>
      <w:r w:rsidR="00A21627" w:rsidRPr="003E2514">
        <w:t>namely</w:t>
      </w:r>
      <w:r w:rsidRPr="003E2514">
        <w:t xml:space="preserve"> to conduct an effective investigation into the acts of torture </w:t>
      </w:r>
      <w:r w:rsidR="00271DA6" w:rsidRPr="003E2514">
        <w:t xml:space="preserve">to </w:t>
      </w:r>
      <w:r w:rsidRPr="003E2514">
        <w:t xml:space="preserve">which </w:t>
      </w:r>
      <w:r w:rsidR="002C7EE8" w:rsidRPr="003E2514">
        <w:t>they</w:t>
      </w:r>
      <w:r w:rsidRPr="003E2514">
        <w:t xml:space="preserve"> had </w:t>
      </w:r>
      <w:r w:rsidR="00271DA6" w:rsidRPr="003E2514">
        <w:t xml:space="preserve">been </w:t>
      </w:r>
      <w:r w:rsidRPr="003E2514">
        <w:t>su</w:t>
      </w:r>
      <w:r w:rsidR="00271DA6" w:rsidRPr="003E2514">
        <w:t>bject</w:t>
      </w:r>
      <w:r w:rsidRPr="003E2514">
        <w:t>ed</w:t>
      </w:r>
      <w:r w:rsidR="00271DA6" w:rsidRPr="003E2514">
        <w:t xml:space="preserve"> </w:t>
      </w:r>
      <w:r w:rsidRPr="003E2514">
        <w:t xml:space="preserve">and </w:t>
      </w:r>
      <w:r w:rsidR="00271DA6" w:rsidRPr="003E2514">
        <w:t xml:space="preserve">to </w:t>
      </w:r>
      <w:r w:rsidR="00AC0368" w:rsidRPr="003E2514">
        <w:t xml:space="preserve">mete out </w:t>
      </w:r>
      <w:r w:rsidRPr="003E2514">
        <w:t xml:space="preserve">adequate </w:t>
      </w:r>
      <w:r w:rsidR="002C7EE8" w:rsidRPr="003E2514">
        <w:t>punishment</w:t>
      </w:r>
      <w:r w:rsidRPr="003E2514">
        <w:t xml:space="preserve"> </w:t>
      </w:r>
      <w:r w:rsidR="00AC0368" w:rsidRPr="003E2514">
        <w:t>t</w:t>
      </w:r>
      <w:r w:rsidRPr="003E2514">
        <w:t xml:space="preserve">o </w:t>
      </w:r>
      <w:r w:rsidR="000C48F3" w:rsidRPr="003E2514">
        <w:t>the perpetrators</w:t>
      </w:r>
      <w:r w:rsidRPr="003E2514">
        <w:t>.</w:t>
      </w:r>
    </w:p>
    <w:p w:rsidR="007A48EF" w:rsidRPr="003E2514" w:rsidRDefault="00B86D41" w:rsidP="003E2514">
      <w:pPr>
        <w:pStyle w:val="ECHRHeading4"/>
      </w:pPr>
      <w:r w:rsidRPr="003E2514">
        <w:t>(</w:t>
      </w:r>
      <w:r w:rsidR="007834B3" w:rsidRPr="003E2514">
        <w:t>b)  </w:t>
      </w:r>
      <w:r w:rsidR="007A48EF" w:rsidRPr="003E2514">
        <w:t>The Government</w:t>
      </w:r>
    </w:p>
    <w:p w:rsidR="00986D96" w:rsidRPr="003E2514" w:rsidRDefault="00527BB2"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97</w:t>
      </w:r>
      <w:r w:rsidRPr="003E2514">
        <w:fldChar w:fldCharType="end"/>
      </w:r>
      <w:r w:rsidRPr="003E2514">
        <w:t xml:space="preserve">.  The Government </w:t>
      </w:r>
      <w:r w:rsidR="004B6354" w:rsidRPr="003E2514">
        <w:t>observe</w:t>
      </w:r>
      <w:r w:rsidR="00696FBB" w:rsidRPr="003E2514">
        <w:t xml:space="preserve">d that the impugned </w:t>
      </w:r>
      <w:r w:rsidR="00AC0368" w:rsidRPr="003E2514">
        <w:t xml:space="preserve">conduct </w:t>
      </w:r>
      <w:r w:rsidR="00696FBB" w:rsidRPr="003E2514">
        <w:t>had been closely examined by the Asti District Court</w:t>
      </w:r>
      <w:r w:rsidR="00271DA6" w:rsidRPr="003E2514">
        <w:t>,</w:t>
      </w:r>
      <w:r w:rsidR="00696FBB" w:rsidRPr="003E2514">
        <w:t xml:space="preserve"> which </w:t>
      </w:r>
      <w:r w:rsidR="00271DA6" w:rsidRPr="003E2514">
        <w:t xml:space="preserve">had </w:t>
      </w:r>
      <w:r w:rsidR="00696FBB" w:rsidRPr="003E2514">
        <w:t>recognised the responsibility of the prison officers.</w:t>
      </w:r>
    </w:p>
    <w:p w:rsidR="00986D96" w:rsidRPr="003E2514" w:rsidRDefault="002F243A"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98</w:t>
      </w:r>
      <w:r w:rsidRPr="003E2514">
        <w:fldChar w:fldCharType="end"/>
      </w:r>
      <w:r w:rsidRPr="003E2514">
        <w:t>.  </w:t>
      </w:r>
      <w:r w:rsidR="00696FBB" w:rsidRPr="003E2514">
        <w:t xml:space="preserve">The Government </w:t>
      </w:r>
      <w:r w:rsidR="00271DA6" w:rsidRPr="003E2514">
        <w:t>argu</w:t>
      </w:r>
      <w:r w:rsidR="00696FBB" w:rsidRPr="003E2514">
        <w:t xml:space="preserve">ed that both the judicial and disciplinary proceedings against the officers, which </w:t>
      </w:r>
      <w:r w:rsidR="00AC0368" w:rsidRPr="003E2514">
        <w:t xml:space="preserve">had been </w:t>
      </w:r>
      <w:r w:rsidR="00696FBB" w:rsidRPr="003E2514">
        <w:t xml:space="preserve">aimed at </w:t>
      </w:r>
      <w:r w:rsidRPr="003E2514">
        <w:t>uncovering</w:t>
      </w:r>
      <w:r w:rsidR="00696FBB" w:rsidRPr="003E2514">
        <w:t xml:space="preserve"> the</w:t>
      </w:r>
      <w:r w:rsidRPr="003E2514">
        <w:t xml:space="preserve"> full</w:t>
      </w:r>
      <w:r w:rsidR="00696FBB" w:rsidRPr="003E2514">
        <w:t xml:space="preserve"> extent of the treatment </w:t>
      </w:r>
      <w:r w:rsidR="00B33F5C" w:rsidRPr="003E2514">
        <w:t>inflicted on</w:t>
      </w:r>
      <w:r w:rsidR="00696FBB" w:rsidRPr="003E2514">
        <w:t xml:space="preserve"> the </w:t>
      </w:r>
      <w:r w:rsidRPr="003E2514">
        <w:t>applicants</w:t>
      </w:r>
      <w:r w:rsidR="00696FBB" w:rsidRPr="003E2514">
        <w:t xml:space="preserve"> during their detention</w:t>
      </w:r>
      <w:r w:rsidR="004B6354" w:rsidRPr="003E2514">
        <w:t>,</w:t>
      </w:r>
      <w:r w:rsidR="00E90D7B" w:rsidRPr="003E2514">
        <w:t xml:space="preserve"> </w:t>
      </w:r>
      <w:r w:rsidR="000136ED" w:rsidRPr="003E2514">
        <w:t xml:space="preserve">had demonstrated </w:t>
      </w:r>
      <w:r w:rsidR="00E90D7B" w:rsidRPr="003E2514">
        <w:t>the Italian authorities</w:t>
      </w:r>
      <w:r w:rsidR="003E2514" w:rsidRPr="003E2514">
        <w:t>’</w:t>
      </w:r>
      <w:r w:rsidR="00E90D7B" w:rsidRPr="003E2514">
        <w:t xml:space="preserve"> </w:t>
      </w:r>
      <w:r w:rsidR="000136ED" w:rsidRPr="003E2514">
        <w:t xml:space="preserve">willingness </w:t>
      </w:r>
      <w:r w:rsidR="00E90D7B" w:rsidRPr="003E2514">
        <w:t>to</w:t>
      </w:r>
      <w:r w:rsidR="008C3D00" w:rsidRPr="003E2514">
        <w:t xml:space="preserve"> identify and </w:t>
      </w:r>
      <w:r w:rsidR="00E90D7B" w:rsidRPr="003E2514">
        <w:t xml:space="preserve">punish the officers responsible for the </w:t>
      </w:r>
      <w:r w:rsidR="00B33F5C" w:rsidRPr="003E2514">
        <w:t>impugned acts</w:t>
      </w:r>
      <w:r w:rsidR="00E90D7B" w:rsidRPr="003E2514">
        <w:t xml:space="preserve"> notwithstanding the t</w:t>
      </w:r>
      <w:r w:rsidR="00AC0368" w:rsidRPr="003E2514">
        <w:t>im</w:t>
      </w:r>
      <w:r w:rsidR="00E90D7B" w:rsidRPr="003E2514">
        <w:t>e</w:t>
      </w:r>
      <w:r w:rsidR="00AC0368" w:rsidRPr="003E2514">
        <w:noBreakHyphen/>
      </w:r>
      <w:r w:rsidR="00E90D7B" w:rsidRPr="003E2514">
        <w:t>barring of the criminal proceedings.</w:t>
      </w:r>
    </w:p>
    <w:p w:rsidR="00986D96" w:rsidRPr="003E2514" w:rsidRDefault="00067173" w:rsidP="003E2514">
      <w:pPr>
        <w:pStyle w:val="ECHRPara"/>
        <w:rPr>
          <w:i/>
          <w:iCs/>
        </w:rPr>
      </w:pPr>
      <w:r w:rsidRPr="003E2514">
        <w:fldChar w:fldCharType="begin"/>
      </w:r>
      <w:r w:rsidRPr="003E2514">
        <w:instrText xml:space="preserve"> SEQ level0 \*arabic </w:instrText>
      </w:r>
      <w:r w:rsidRPr="003E2514">
        <w:fldChar w:fldCharType="separate"/>
      </w:r>
      <w:r w:rsidR="003E2514" w:rsidRPr="003E2514">
        <w:rPr>
          <w:noProof/>
        </w:rPr>
        <w:t>99</w:t>
      </w:r>
      <w:r w:rsidRPr="003E2514">
        <w:fldChar w:fldCharType="end"/>
      </w:r>
      <w:r w:rsidRPr="003E2514">
        <w:t>.  </w:t>
      </w:r>
      <w:r w:rsidR="00C81E63" w:rsidRPr="003E2514">
        <w:t>They contested the applicants</w:t>
      </w:r>
      <w:r w:rsidR="003E2514" w:rsidRPr="003E2514">
        <w:t>’</w:t>
      </w:r>
      <w:r w:rsidR="00C81E63" w:rsidRPr="003E2514">
        <w:t xml:space="preserve"> contention</w:t>
      </w:r>
      <w:r w:rsidR="00D1483A" w:rsidRPr="003E2514">
        <w:t>s regarding disciplinary sanctions. In this respect, the</w:t>
      </w:r>
      <w:r w:rsidR="00E90D7B" w:rsidRPr="003E2514">
        <w:t xml:space="preserve"> Government s</w:t>
      </w:r>
      <w:r w:rsidR="000136ED" w:rsidRPr="003E2514">
        <w:t>tat</w:t>
      </w:r>
      <w:r w:rsidR="00E90D7B" w:rsidRPr="003E2514">
        <w:t xml:space="preserve">ed that </w:t>
      </w:r>
      <w:r w:rsidR="00DC2C5D" w:rsidRPr="003E2514">
        <w:t>the imposition of</w:t>
      </w:r>
      <w:r w:rsidR="00DF6069" w:rsidRPr="003E2514">
        <w:t xml:space="preserve"> disciplinary sanctions</w:t>
      </w:r>
      <w:r w:rsidR="006725BF" w:rsidRPr="003E2514">
        <w:t xml:space="preserve"> occurs via proceedings </w:t>
      </w:r>
      <w:r w:rsidR="000136ED" w:rsidRPr="003E2514">
        <w:t>which are subject to</w:t>
      </w:r>
      <w:r w:rsidR="006725BF" w:rsidRPr="003E2514">
        <w:t xml:space="preserve"> </w:t>
      </w:r>
      <w:r w:rsidR="006725BF" w:rsidRPr="003E2514">
        <w:lastRenderedPageBreak/>
        <w:t xml:space="preserve">procedural guarantees that are comparable to those applied in criminal proceedings. </w:t>
      </w:r>
      <w:r w:rsidR="00BF4623" w:rsidRPr="003E2514">
        <w:t xml:space="preserve">The Government further observed that </w:t>
      </w:r>
      <w:r w:rsidR="00812515" w:rsidRPr="003E2514">
        <w:t xml:space="preserve">in the event of criminal proceedings being conducted in parallel </w:t>
      </w:r>
      <w:r w:rsidR="00AC0368" w:rsidRPr="003E2514">
        <w:t>with</w:t>
      </w:r>
      <w:r w:rsidR="00812515" w:rsidRPr="003E2514">
        <w:t xml:space="preserve"> disciplinary proceedings, </w:t>
      </w:r>
      <w:r w:rsidR="001176E0" w:rsidRPr="003E2514">
        <w:t xml:space="preserve">any final assessment </w:t>
      </w:r>
      <w:r w:rsidR="000136ED" w:rsidRPr="003E2514">
        <w:t>as t</w:t>
      </w:r>
      <w:r w:rsidR="001176E0" w:rsidRPr="003E2514">
        <w:t>o the applicat</w:t>
      </w:r>
      <w:r w:rsidR="00AC0368" w:rsidRPr="003E2514">
        <w:t>ion</w:t>
      </w:r>
      <w:r w:rsidR="001176E0" w:rsidRPr="003E2514">
        <w:t xml:space="preserve"> of disciplinary sanctions </w:t>
      </w:r>
      <w:r w:rsidR="007C1BCF" w:rsidRPr="003E2514">
        <w:t xml:space="preserve">and the choice of the sanction </w:t>
      </w:r>
      <w:r w:rsidR="000136ED" w:rsidRPr="003E2514">
        <w:t xml:space="preserve">concerned </w:t>
      </w:r>
      <w:r w:rsidR="00CA6F00" w:rsidRPr="003E2514">
        <w:t xml:space="preserve">must be </w:t>
      </w:r>
      <w:r w:rsidR="00F46DE1" w:rsidRPr="003E2514">
        <w:t xml:space="preserve">postponed until the conclusion of </w:t>
      </w:r>
      <w:r w:rsidR="000136ED" w:rsidRPr="003E2514">
        <w:t xml:space="preserve">the </w:t>
      </w:r>
      <w:r w:rsidR="00F46DE1" w:rsidRPr="003E2514">
        <w:t>criminal proceedings</w:t>
      </w:r>
      <w:r w:rsidR="00CA6F00" w:rsidRPr="003E2514">
        <w:t>.</w:t>
      </w:r>
      <w:r w:rsidR="00F46DE1" w:rsidRPr="003E2514">
        <w:t xml:space="preserve"> T</w:t>
      </w:r>
      <w:r w:rsidR="00A04252" w:rsidRPr="003E2514">
        <w:t xml:space="preserve">he </w:t>
      </w:r>
      <w:r w:rsidR="00FD6364" w:rsidRPr="003E2514">
        <w:t xml:space="preserve">Government </w:t>
      </w:r>
      <w:r w:rsidR="000136ED" w:rsidRPr="003E2514">
        <w:t>po</w:t>
      </w:r>
      <w:r w:rsidR="00FD6364" w:rsidRPr="003E2514">
        <w:t>in</w:t>
      </w:r>
      <w:r w:rsidR="000136ED" w:rsidRPr="003E2514">
        <w:t>t</w:t>
      </w:r>
      <w:r w:rsidR="00FD6364" w:rsidRPr="003E2514">
        <w:t>ed</w:t>
      </w:r>
      <w:r w:rsidR="000136ED" w:rsidRPr="003E2514">
        <w:t xml:space="preserve"> out</w:t>
      </w:r>
      <w:r w:rsidR="00FD6364" w:rsidRPr="003E2514">
        <w:t xml:space="preserve"> that</w:t>
      </w:r>
      <w:r w:rsidR="000136ED" w:rsidRPr="003E2514">
        <w:t>,</w:t>
      </w:r>
      <w:r w:rsidR="00FD6364" w:rsidRPr="003E2514">
        <w:t xml:space="preserve"> </w:t>
      </w:r>
      <w:r w:rsidR="000136ED" w:rsidRPr="003E2514">
        <w:t xml:space="preserve">in order to answer for the acts perpetrated against the applicants, </w:t>
      </w:r>
      <w:r w:rsidR="00FD6364" w:rsidRPr="003E2514">
        <w:t xml:space="preserve">the </w:t>
      </w:r>
      <w:r w:rsidR="000136ED" w:rsidRPr="003E2514">
        <w:t xml:space="preserve">prison </w:t>
      </w:r>
      <w:r w:rsidR="00A04252" w:rsidRPr="003E2514">
        <w:t xml:space="preserve">officers </w:t>
      </w:r>
      <w:r w:rsidR="000136ED" w:rsidRPr="003E2514">
        <w:t>had been held to account</w:t>
      </w:r>
      <w:r w:rsidR="00A04252" w:rsidRPr="003E2514">
        <w:t xml:space="preserve"> </w:t>
      </w:r>
      <w:r w:rsidR="006A28FA" w:rsidRPr="003E2514">
        <w:t>before domestic criminal courts and administrative bodies that are</w:t>
      </w:r>
      <w:r w:rsidR="00FD6364" w:rsidRPr="003E2514">
        <w:t xml:space="preserve"> </w:t>
      </w:r>
      <w:r w:rsidR="006A28FA" w:rsidRPr="003E2514">
        <w:t>known for their seriousness and impartiality</w:t>
      </w:r>
      <w:r w:rsidR="00AC0368" w:rsidRPr="003E2514">
        <w:t>,</w:t>
      </w:r>
      <w:r w:rsidR="000136ED" w:rsidRPr="003E2514">
        <w:t xml:space="preserve"> and</w:t>
      </w:r>
      <w:r w:rsidR="00446373" w:rsidRPr="003E2514">
        <w:t xml:space="preserve"> the</w:t>
      </w:r>
      <w:r w:rsidR="000136ED" w:rsidRPr="003E2514">
        <w:t>ir</w:t>
      </w:r>
      <w:r w:rsidR="00446373" w:rsidRPr="003E2514">
        <w:t xml:space="preserve"> </w:t>
      </w:r>
      <w:r w:rsidR="0049622C" w:rsidRPr="003E2514">
        <w:t>responsibility for the impugned events</w:t>
      </w:r>
      <w:r w:rsidR="000136ED" w:rsidRPr="003E2514">
        <w:t xml:space="preserve"> had been</w:t>
      </w:r>
      <w:r w:rsidR="00446373" w:rsidRPr="003E2514">
        <w:t xml:space="preserve"> established in both sets of proceedings.</w:t>
      </w:r>
    </w:p>
    <w:p w:rsidR="007A48EF" w:rsidRPr="003E2514" w:rsidRDefault="00AC2BA1" w:rsidP="003E2514">
      <w:pPr>
        <w:pStyle w:val="ECHRHeading4"/>
      </w:pPr>
      <w:r w:rsidRPr="003E2514">
        <w:t>(c)  </w:t>
      </w:r>
      <w:r w:rsidR="007D7336" w:rsidRPr="003E2514">
        <w:t xml:space="preserve">The third-party interveners: </w:t>
      </w:r>
      <w:r w:rsidR="00DA050E" w:rsidRPr="003E2514">
        <w:t xml:space="preserve">the </w:t>
      </w:r>
      <w:r w:rsidR="007D7336" w:rsidRPr="003E2514">
        <w:t xml:space="preserve">Nonviolent Radical Party, </w:t>
      </w:r>
      <w:r w:rsidR="00DA050E" w:rsidRPr="003E2514">
        <w:t xml:space="preserve">Transnational and </w:t>
      </w:r>
      <w:proofErr w:type="spellStart"/>
      <w:r w:rsidR="00DA050E" w:rsidRPr="003E2514">
        <w:t>Transparty</w:t>
      </w:r>
      <w:proofErr w:type="spellEnd"/>
      <w:r w:rsidR="00DA050E" w:rsidRPr="003E2514">
        <w:t xml:space="preserve">, </w:t>
      </w:r>
      <w:r w:rsidR="007D7336" w:rsidRPr="003E2514">
        <w:t xml:space="preserve">the </w:t>
      </w:r>
      <w:r w:rsidR="00AC0368" w:rsidRPr="003E2514">
        <w:t>a</w:t>
      </w:r>
      <w:r w:rsidR="007D7336" w:rsidRPr="003E2514">
        <w:t>ssociation “</w:t>
      </w:r>
      <w:r w:rsidR="007D7336" w:rsidRPr="003E2514">
        <w:rPr>
          <w:i/>
        </w:rPr>
        <w:t xml:space="preserve">Non </w:t>
      </w:r>
      <w:proofErr w:type="spellStart"/>
      <w:r w:rsidR="007D7336" w:rsidRPr="003E2514">
        <w:rPr>
          <w:i/>
        </w:rPr>
        <w:t>c</w:t>
      </w:r>
      <w:r w:rsidR="003E2514" w:rsidRPr="003E2514">
        <w:rPr>
          <w:i/>
        </w:rPr>
        <w:t>’</w:t>
      </w:r>
      <w:r w:rsidR="007D7336" w:rsidRPr="003E2514">
        <w:rPr>
          <w:i/>
        </w:rPr>
        <w:t>è</w:t>
      </w:r>
      <w:proofErr w:type="spellEnd"/>
      <w:r w:rsidR="007D7336" w:rsidRPr="003E2514">
        <w:rPr>
          <w:i/>
        </w:rPr>
        <w:t xml:space="preserve"> pace </w:t>
      </w:r>
      <w:proofErr w:type="spellStart"/>
      <w:r w:rsidR="007D7336" w:rsidRPr="003E2514">
        <w:rPr>
          <w:i/>
        </w:rPr>
        <w:t>senza</w:t>
      </w:r>
      <w:proofErr w:type="spellEnd"/>
      <w:r w:rsidR="007D7336" w:rsidRPr="003E2514">
        <w:rPr>
          <w:i/>
        </w:rPr>
        <w:t xml:space="preserve"> </w:t>
      </w:r>
      <w:proofErr w:type="spellStart"/>
      <w:r w:rsidR="007D7336" w:rsidRPr="003E2514">
        <w:rPr>
          <w:i/>
        </w:rPr>
        <w:t>giustizia</w:t>
      </w:r>
      <w:proofErr w:type="spellEnd"/>
      <w:r w:rsidR="007D7336" w:rsidRPr="003E2514">
        <w:t>”</w:t>
      </w:r>
      <w:r w:rsidR="00DA050E" w:rsidRPr="003E2514">
        <w:t>,</w:t>
      </w:r>
      <w:r w:rsidR="007D7336" w:rsidRPr="003E2514">
        <w:t xml:space="preserve"> and the Italian Radicals (the former “Italian Radical Party”)</w:t>
      </w:r>
    </w:p>
    <w:p w:rsidR="00986D96" w:rsidRPr="003E2514" w:rsidRDefault="00AE638B"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100</w:t>
      </w:r>
      <w:r w:rsidRPr="003E2514">
        <w:rPr>
          <w:noProof/>
        </w:rPr>
        <w:fldChar w:fldCharType="end"/>
      </w:r>
      <w:r w:rsidR="003F5321" w:rsidRPr="003E2514">
        <w:t>.  </w:t>
      </w:r>
      <w:r w:rsidR="001C66A9" w:rsidRPr="003E2514">
        <w:t xml:space="preserve">The third parties took the view that </w:t>
      </w:r>
      <w:r w:rsidR="000872E6" w:rsidRPr="003E2514">
        <w:t xml:space="preserve">Italy </w:t>
      </w:r>
      <w:r w:rsidR="00627DFF" w:rsidRPr="003E2514">
        <w:t>ha</w:t>
      </w:r>
      <w:r w:rsidR="00700C8C" w:rsidRPr="003E2514">
        <w:t>d</w:t>
      </w:r>
      <w:r w:rsidR="00627DFF" w:rsidRPr="003E2514">
        <w:t xml:space="preserve"> failed to comply</w:t>
      </w:r>
      <w:r w:rsidR="000872E6" w:rsidRPr="003E2514">
        <w:t xml:space="preserve"> </w:t>
      </w:r>
      <w:r w:rsidR="00627DFF" w:rsidRPr="003E2514">
        <w:t xml:space="preserve">with the </w:t>
      </w:r>
      <w:r w:rsidR="000872E6" w:rsidRPr="003E2514">
        <w:t xml:space="preserve">international obligations </w:t>
      </w:r>
      <w:r w:rsidR="00700C8C" w:rsidRPr="003E2514">
        <w:t>aris</w:t>
      </w:r>
      <w:r w:rsidR="000872E6" w:rsidRPr="003E2514">
        <w:t xml:space="preserve">ing from the </w:t>
      </w:r>
      <w:r w:rsidR="00EC3743" w:rsidRPr="003E2514">
        <w:t xml:space="preserve">United Nations </w:t>
      </w:r>
      <w:r w:rsidR="000872E6" w:rsidRPr="003E2514">
        <w:t>Convention against Torture and Other Cruel, Inhuman or Degradi</w:t>
      </w:r>
      <w:r w:rsidR="00C11777" w:rsidRPr="003E2514">
        <w:t>ng Treatment or Punishment</w:t>
      </w:r>
      <w:r w:rsidR="000872E6" w:rsidRPr="003E2514">
        <w:t>.</w:t>
      </w:r>
      <w:r w:rsidR="007E1F5B" w:rsidRPr="003E2514">
        <w:t xml:space="preserve"> </w:t>
      </w:r>
      <w:r w:rsidR="001F4D42" w:rsidRPr="003E2514">
        <w:t xml:space="preserve">They </w:t>
      </w:r>
      <w:r w:rsidR="00EA4770" w:rsidRPr="003E2514">
        <w:t>invited the Court to take account of the fact</w:t>
      </w:r>
      <w:r w:rsidR="00C11777" w:rsidRPr="003E2514">
        <w:t xml:space="preserve"> that </w:t>
      </w:r>
      <w:r w:rsidR="007E1F5B" w:rsidRPr="003E2514">
        <w:t>Italy</w:t>
      </w:r>
      <w:r w:rsidR="00700C8C" w:rsidRPr="003E2514">
        <w:t xml:space="preserve"> had</w:t>
      </w:r>
      <w:r w:rsidR="007E1F5B" w:rsidRPr="003E2514">
        <w:t xml:space="preserve"> ratified </w:t>
      </w:r>
      <w:r w:rsidR="008273A4" w:rsidRPr="003E2514">
        <w:t xml:space="preserve">the </w:t>
      </w:r>
      <w:r w:rsidR="00EC3743" w:rsidRPr="003E2514">
        <w:t>latter instrument</w:t>
      </w:r>
      <w:r w:rsidR="00C11777" w:rsidRPr="003E2514">
        <w:t xml:space="preserve"> in 1989</w:t>
      </w:r>
      <w:r w:rsidR="007E1F5B" w:rsidRPr="003E2514">
        <w:t xml:space="preserve">, </w:t>
      </w:r>
      <w:r w:rsidR="00C11777" w:rsidRPr="003E2514">
        <w:t>th</w:t>
      </w:r>
      <w:r w:rsidR="00700C8C" w:rsidRPr="003E2514">
        <w:t>ereby</w:t>
      </w:r>
      <w:r w:rsidR="007E1F5B" w:rsidRPr="003E2514">
        <w:t xml:space="preserve"> undertaking to introduce </w:t>
      </w:r>
      <w:r w:rsidR="00C11777" w:rsidRPr="003E2514">
        <w:t xml:space="preserve">the </w:t>
      </w:r>
      <w:r w:rsidR="007E1F5B" w:rsidRPr="003E2514">
        <w:t>offence</w:t>
      </w:r>
      <w:r w:rsidR="00C11777" w:rsidRPr="003E2514">
        <w:t xml:space="preserve"> of torture</w:t>
      </w:r>
      <w:r w:rsidR="007E1F5B" w:rsidRPr="003E2514">
        <w:t xml:space="preserve"> into </w:t>
      </w:r>
      <w:r w:rsidR="00C11777" w:rsidRPr="003E2514">
        <w:t>the Italian</w:t>
      </w:r>
      <w:r w:rsidR="007E1F5B" w:rsidRPr="003E2514">
        <w:t xml:space="preserve"> legal system</w:t>
      </w:r>
      <w:r w:rsidR="00C11777" w:rsidRPr="003E2514">
        <w:t xml:space="preserve">. </w:t>
      </w:r>
      <w:r w:rsidR="00700C8C" w:rsidRPr="003E2514">
        <w:t>N</w:t>
      </w:r>
      <w:r w:rsidR="00C11777" w:rsidRPr="003E2514">
        <w:t>otwithstanding</w:t>
      </w:r>
      <w:r w:rsidR="00700C8C" w:rsidRPr="003E2514">
        <w:t xml:space="preserve"> this undertaking</w:t>
      </w:r>
      <w:r w:rsidR="00C11777" w:rsidRPr="003E2514">
        <w:t>, t</w:t>
      </w:r>
      <w:r w:rsidR="007E1F5B" w:rsidRPr="003E2514">
        <w:t xml:space="preserve">wenty-five years </w:t>
      </w:r>
      <w:r w:rsidR="00C11777" w:rsidRPr="003E2514">
        <w:t xml:space="preserve">following </w:t>
      </w:r>
      <w:r w:rsidR="00700C8C" w:rsidRPr="003E2514">
        <w:t>the</w:t>
      </w:r>
      <w:r w:rsidR="00C11777" w:rsidRPr="003E2514">
        <w:t xml:space="preserve"> ratification</w:t>
      </w:r>
      <w:r w:rsidR="007E1F5B" w:rsidRPr="003E2514">
        <w:t xml:space="preserve">, </w:t>
      </w:r>
      <w:r w:rsidR="00C11777" w:rsidRPr="003E2514">
        <w:t xml:space="preserve">no legislation criminalising torture </w:t>
      </w:r>
      <w:r w:rsidR="00476CCC" w:rsidRPr="003E2514">
        <w:t>had</w:t>
      </w:r>
      <w:r w:rsidR="00C11777" w:rsidRPr="003E2514">
        <w:t xml:space="preserve"> been adopted.</w:t>
      </w:r>
    </w:p>
    <w:p w:rsidR="00986D96" w:rsidRPr="003E2514" w:rsidRDefault="00A15600"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101</w:t>
      </w:r>
      <w:r w:rsidRPr="003E2514">
        <w:fldChar w:fldCharType="end"/>
      </w:r>
      <w:r w:rsidRPr="003E2514">
        <w:t>.  </w:t>
      </w:r>
      <w:r w:rsidR="0098714A" w:rsidRPr="003E2514">
        <w:t xml:space="preserve">They </w:t>
      </w:r>
      <w:r w:rsidR="00700C8C" w:rsidRPr="003E2514">
        <w:t xml:space="preserve">also </w:t>
      </w:r>
      <w:r w:rsidR="0098714A" w:rsidRPr="003E2514">
        <w:t>provided a comparative overview of the criminalisation of torture in a number of European systems.</w:t>
      </w:r>
    </w:p>
    <w:p w:rsidR="00F77FDD" w:rsidRPr="003E2514" w:rsidRDefault="009D586D"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102</w:t>
      </w:r>
      <w:r w:rsidRPr="003E2514">
        <w:fldChar w:fldCharType="end"/>
      </w:r>
      <w:r w:rsidRPr="003E2514">
        <w:t>.  </w:t>
      </w:r>
      <w:r w:rsidR="00EA4770" w:rsidRPr="003E2514">
        <w:t>The third parties submitted that</w:t>
      </w:r>
      <w:r w:rsidR="001C60AB" w:rsidRPr="003E2514">
        <w:t>,</w:t>
      </w:r>
      <w:r w:rsidR="00F77FDD" w:rsidRPr="003E2514">
        <w:t xml:space="preserve"> in the absence of a specific offence </w:t>
      </w:r>
      <w:r w:rsidR="00D61032" w:rsidRPr="003E2514">
        <w:t>under</w:t>
      </w:r>
      <w:r w:rsidR="0098714A" w:rsidRPr="003E2514">
        <w:t xml:space="preserve"> Italian</w:t>
      </w:r>
      <w:r w:rsidR="00D61032" w:rsidRPr="003E2514">
        <w:t xml:space="preserve"> domestic law</w:t>
      </w:r>
      <w:r w:rsidR="00F77FDD" w:rsidRPr="003E2514">
        <w:t>, the offences included in the Criminal Code did not enable acts of torture to be adequately criminalised, th</w:t>
      </w:r>
      <w:r w:rsidR="00700C8C" w:rsidRPr="003E2514">
        <w:t>ereby</w:t>
      </w:r>
      <w:r w:rsidR="00F77FDD" w:rsidRPr="003E2514">
        <w:t xml:space="preserve"> </w:t>
      </w:r>
      <w:r w:rsidR="00700C8C" w:rsidRPr="003E2514">
        <w:t>preclud</w:t>
      </w:r>
      <w:r w:rsidR="00F77FDD" w:rsidRPr="003E2514">
        <w:t>ing the imposition of appropriate penalties proportionate to the seriousness of the acts in question.</w:t>
      </w:r>
    </w:p>
    <w:p w:rsidR="00986D96" w:rsidRPr="003E2514" w:rsidRDefault="00F77FDD"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103</w:t>
      </w:r>
      <w:r w:rsidRPr="003E2514">
        <w:fldChar w:fldCharType="end"/>
      </w:r>
      <w:r w:rsidRPr="003E2514">
        <w:t>.  </w:t>
      </w:r>
      <w:r w:rsidR="004B1613" w:rsidRPr="003E2514">
        <w:t>The third parties</w:t>
      </w:r>
      <w:r w:rsidR="009C422E" w:rsidRPr="003E2514">
        <w:t xml:space="preserve"> further </w:t>
      </w:r>
      <w:r w:rsidR="002C102A" w:rsidRPr="003E2514">
        <w:t>underlined that the</w:t>
      </w:r>
      <w:r w:rsidR="005E71DD" w:rsidRPr="003E2514">
        <w:t xml:space="preserve"> </w:t>
      </w:r>
      <w:proofErr w:type="spellStart"/>
      <w:r w:rsidR="00033558" w:rsidRPr="003E2514">
        <w:rPr>
          <w:i/>
        </w:rPr>
        <w:t>Cestaro</w:t>
      </w:r>
      <w:proofErr w:type="spellEnd"/>
      <w:r w:rsidR="005E71DD" w:rsidRPr="003E2514">
        <w:t xml:space="preserve"> judgment (cited above) </w:t>
      </w:r>
      <w:r w:rsidR="00AC0368" w:rsidRPr="003E2514">
        <w:t xml:space="preserve">had </w:t>
      </w:r>
      <w:r w:rsidR="009544FF" w:rsidRPr="003E2514">
        <w:t>urged</w:t>
      </w:r>
      <w:r w:rsidR="00937B67" w:rsidRPr="003E2514">
        <w:t xml:space="preserve"> </w:t>
      </w:r>
      <w:r w:rsidR="00F437CB" w:rsidRPr="003E2514">
        <w:t>Italy to adopt general measures</w:t>
      </w:r>
      <w:r w:rsidR="008273A4" w:rsidRPr="003E2514">
        <w:t xml:space="preserve"> to address a structural </w:t>
      </w:r>
      <w:r w:rsidR="00E6192D" w:rsidRPr="003E2514">
        <w:t>deficiency</w:t>
      </w:r>
      <w:r w:rsidR="008725EF" w:rsidRPr="003E2514">
        <w:t>.</w:t>
      </w:r>
      <w:r w:rsidR="00677F64" w:rsidRPr="003E2514">
        <w:t xml:space="preserve"> </w:t>
      </w:r>
      <w:r w:rsidR="004B1613" w:rsidRPr="003E2514">
        <w:t>They</w:t>
      </w:r>
      <w:r w:rsidR="003C75C9" w:rsidRPr="003E2514">
        <w:t xml:space="preserve"> consequently</w:t>
      </w:r>
      <w:r w:rsidR="008725EF" w:rsidRPr="003E2514">
        <w:t xml:space="preserve"> stressed the </w:t>
      </w:r>
      <w:r w:rsidR="001C60AB" w:rsidRPr="003E2514">
        <w:t xml:space="preserve">need to fill </w:t>
      </w:r>
      <w:r w:rsidR="00627DFF" w:rsidRPr="003E2514">
        <w:t xml:space="preserve">a </w:t>
      </w:r>
      <w:r w:rsidR="001C60AB" w:rsidRPr="003E2514">
        <w:t>legislative void insofar as the criminalisation of torture and inhuman or degrading treatment is concerned.</w:t>
      </w:r>
    </w:p>
    <w:p w:rsidR="00410C92" w:rsidRPr="003E2514" w:rsidRDefault="0003355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104</w:t>
      </w:r>
      <w:r w:rsidRPr="003E2514">
        <w:fldChar w:fldCharType="end"/>
      </w:r>
      <w:r w:rsidRPr="003E2514">
        <w:t>.  </w:t>
      </w:r>
      <w:r w:rsidR="00592D8E" w:rsidRPr="003E2514">
        <w:t xml:space="preserve">Lastly, as regards </w:t>
      </w:r>
      <w:r w:rsidR="00700C8C" w:rsidRPr="003E2514">
        <w:t xml:space="preserve">the </w:t>
      </w:r>
      <w:r w:rsidR="00592D8E" w:rsidRPr="003E2514">
        <w:t>disciplinary proceedings, the third part</w:t>
      </w:r>
      <w:r w:rsidR="00EA4770" w:rsidRPr="003E2514">
        <w:t>ies</w:t>
      </w:r>
      <w:r w:rsidR="00592D8E" w:rsidRPr="003E2514">
        <w:t xml:space="preserve"> </w:t>
      </w:r>
      <w:r w:rsidRPr="003E2514">
        <w:t>reiterated</w:t>
      </w:r>
      <w:r w:rsidR="005E71DD" w:rsidRPr="003E2514">
        <w:t>, with reference</w:t>
      </w:r>
      <w:r w:rsidRPr="003E2514">
        <w:t>,</w:t>
      </w:r>
      <w:r w:rsidR="005E71DD" w:rsidRPr="003E2514">
        <w:t xml:space="preserve"> to</w:t>
      </w:r>
      <w:r w:rsidR="00EF1BFC" w:rsidRPr="003E2514">
        <w:t xml:space="preserve"> the Court</w:t>
      </w:r>
      <w:r w:rsidR="003E2514" w:rsidRPr="003E2514">
        <w:t>’</w:t>
      </w:r>
      <w:r w:rsidR="00EF1BFC" w:rsidRPr="003E2514">
        <w:t xml:space="preserve">s judgments </w:t>
      </w:r>
      <w:proofErr w:type="spellStart"/>
      <w:r w:rsidR="00352ACA" w:rsidRPr="003E2514">
        <w:rPr>
          <w:i/>
        </w:rPr>
        <w:t>Gäfgen</w:t>
      </w:r>
      <w:proofErr w:type="spellEnd"/>
      <w:r w:rsidR="00EF1BFC" w:rsidRPr="003E2514">
        <w:rPr>
          <w:i/>
        </w:rPr>
        <w:t xml:space="preserve"> v. Germany</w:t>
      </w:r>
      <w:r w:rsidR="00EF1BFC" w:rsidRPr="003E2514">
        <w:t xml:space="preserve">, cited above, and </w:t>
      </w:r>
      <w:proofErr w:type="spellStart"/>
      <w:r w:rsidR="00EF1BFC" w:rsidRPr="003E2514">
        <w:rPr>
          <w:i/>
        </w:rPr>
        <w:t>Saba</w:t>
      </w:r>
      <w:proofErr w:type="spellEnd"/>
      <w:r w:rsidR="00EF1BFC" w:rsidRPr="003E2514">
        <w:rPr>
          <w:i/>
        </w:rPr>
        <w:t xml:space="preserve"> v. Italy</w:t>
      </w:r>
      <w:r w:rsidR="00EF1BFC" w:rsidRPr="003E2514">
        <w:t>, no. 36629/10</w:t>
      </w:r>
      <w:r w:rsidR="00EF1BFC" w:rsidRPr="003E2514">
        <w:rPr>
          <w:snapToGrid w:val="0"/>
        </w:rPr>
        <w:t>, 1 July 2014</w:t>
      </w:r>
      <w:r w:rsidR="005E71DD" w:rsidRPr="003E2514">
        <w:t>,</w:t>
      </w:r>
      <w:r w:rsidR="00B55D32" w:rsidRPr="003E2514">
        <w:t xml:space="preserve"> </w:t>
      </w:r>
      <w:r w:rsidR="001C60AB" w:rsidRPr="003E2514">
        <w:t xml:space="preserve">that </w:t>
      </w:r>
      <w:r w:rsidR="00592D8E" w:rsidRPr="003E2514">
        <w:t>where State agents have been charged with offences involving ill</w:t>
      </w:r>
      <w:r w:rsidR="0068561C" w:rsidRPr="003E2514">
        <w:t>-</w:t>
      </w:r>
      <w:r w:rsidR="00592D8E" w:rsidRPr="003E2514">
        <w:t>treatment, they should be suspended from duty while being investigated or tried</w:t>
      </w:r>
      <w:r w:rsidR="005E71DD" w:rsidRPr="003E2514">
        <w:t>.</w:t>
      </w:r>
    </w:p>
    <w:p w:rsidR="00986D96" w:rsidRPr="003E2514" w:rsidRDefault="00F2244E" w:rsidP="003E2514">
      <w:pPr>
        <w:pStyle w:val="ECHRHeading3"/>
      </w:pPr>
      <w:r w:rsidRPr="003E2514">
        <w:lastRenderedPageBreak/>
        <w:t>2.  </w:t>
      </w:r>
      <w:r w:rsidR="00445D54" w:rsidRPr="003E2514">
        <w:t>The Court</w:t>
      </w:r>
      <w:r w:rsidR="003E2514" w:rsidRPr="003E2514">
        <w:t>’</w:t>
      </w:r>
      <w:r w:rsidR="00445D54" w:rsidRPr="003E2514">
        <w:t>s assessment</w:t>
      </w:r>
    </w:p>
    <w:p w:rsidR="00986D96" w:rsidRPr="003E2514" w:rsidRDefault="00F2244E" w:rsidP="003E2514">
      <w:pPr>
        <w:pStyle w:val="ECHRHeading4"/>
      </w:pPr>
      <w:r w:rsidRPr="003E2514">
        <w:t>(a)  </w:t>
      </w:r>
      <w:r w:rsidR="00F83989" w:rsidRPr="003E2514">
        <w:t>General principles</w:t>
      </w:r>
    </w:p>
    <w:bookmarkStart w:id="28" w:name="_Toc341778714"/>
    <w:bookmarkStart w:id="29" w:name="_Toc341778888"/>
    <w:bookmarkStart w:id="30" w:name="_Toc341779236"/>
    <w:bookmarkStart w:id="31" w:name="_Toc341779411"/>
    <w:bookmarkStart w:id="32" w:name="_Toc341779588"/>
    <w:bookmarkStart w:id="33" w:name="_Toc341779762"/>
    <w:bookmarkStart w:id="34" w:name="_Toc343265389"/>
    <w:bookmarkEnd w:id="28"/>
    <w:bookmarkEnd w:id="29"/>
    <w:bookmarkEnd w:id="30"/>
    <w:bookmarkEnd w:id="31"/>
    <w:bookmarkEnd w:id="32"/>
    <w:bookmarkEnd w:id="33"/>
    <w:p w:rsidR="0040020F" w:rsidRPr="003E2514" w:rsidRDefault="001D3558" w:rsidP="003E2514">
      <w:pPr>
        <w:pStyle w:val="ECHRPara"/>
        <w:rPr>
          <w:i/>
        </w:rPr>
      </w:pPr>
      <w:r w:rsidRPr="003E2514">
        <w:fldChar w:fldCharType="begin"/>
      </w:r>
      <w:r w:rsidRPr="003E2514">
        <w:instrText xml:space="preserve"> SEQ level0 \*arabic </w:instrText>
      </w:r>
      <w:r w:rsidRPr="003E2514">
        <w:fldChar w:fldCharType="separate"/>
      </w:r>
      <w:r w:rsidR="003E2514" w:rsidRPr="003E2514">
        <w:rPr>
          <w:noProof/>
        </w:rPr>
        <w:t>105</w:t>
      </w:r>
      <w:r w:rsidRPr="003E2514">
        <w:fldChar w:fldCharType="end"/>
      </w:r>
      <w:r w:rsidRPr="003E2514">
        <w:t>.  </w:t>
      </w:r>
      <w:r w:rsidR="00817A7F" w:rsidRPr="003E2514">
        <w:t>Where an individual makes an arguable claim that he has been ill</w:t>
      </w:r>
      <w:r w:rsidR="0068561C" w:rsidRPr="003E2514">
        <w:t>-</w:t>
      </w:r>
      <w:r w:rsidR="00817A7F" w:rsidRPr="003E2514">
        <w:t>treated by the State authorities, in breach of Article 3, that provision, read in conjunction with the State</w:t>
      </w:r>
      <w:r w:rsidR="003E2514" w:rsidRPr="003E2514">
        <w:t>’</w:t>
      </w:r>
      <w:r w:rsidR="00817A7F" w:rsidRPr="003E2514">
        <w:t>s general duty under Article 1 of the Convention, requires by implication that there should be an effective official investigation. T</w:t>
      </w:r>
      <w:r w:rsidR="00934CB7" w:rsidRPr="003E2514">
        <w:t>he general principles which apply in determining whether such an investigation was effective for the purposes of Article 3 were restated by the Court</w:t>
      </w:r>
      <w:r w:rsidR="009737EC" w:rsidRPr="003E2514">
        <w:t xml:space="preserve"> </w:t>
      </w:r>
      <w:r w:rsidR="00934CB7" w:rsidRPr="003E2514">
        <w:t xml:space="preserve">in </w:t>
      </w:r>
      <w:proofErr w:type="spellStart"/>
      <w:r w:rsidR="00934CB7" w:rsidRPr="003E2514">
        <w:rPr>
          <w:i/>
        </w:rPr>
        <w:t>Cestaro</w:t>
      </w:r>
      <w:proofErr w:type="spellEnd"/>
      <w:r w:rsidR="00934CB7" w:rsidRPr="003E2514">
        <w:rPr>
          <w:i/>
        </w:rPr>
        <w:t xml:space="preserve"> </w:t>
      </w:r>
      <w:r w:rsidR="00934CB7" w:rsidRPr="003E2514">
        <w:t>(cited above, §§ 205-212)</w:t>
      </w:r>
      <w:r w:rsidR="00934CB7" w:rsidRPr="003E2514">
        <w:rPr>
          <w:i/>
        </w:rPr>
        <w:t>.</w:t>
      </w:r>
    </w:p>
    <w:p w:rsidR="00F83989" w:rsidRPr="003E2514" w:rsidRDefault="00F2244E" w:rsidP="003E2514">
      <w:pPr>
        <w:pStyle w:val="ECHRHeading4"/>
      </w:pPr>
      <w:r w:rsidRPr="003E2514">
        <w:t>(</w:t>
      </w:r>
      <w:r w:rsidR="007834B3" w:rsidRPr="003E2514">
        <w:t>b)  </w:t>
      </w:r>
      <w:r w:rsidR="001B285B" w:rsidRPr="003E2514">
        <w:t>Application of the general principles to the present case</w:t>
      </w:r>
      <w:bookmarkEnd w:id="34"/>
    </w:p>
    <w:bookmarkStart w:id="35" w:name="Procedural_reasoning_start"/>
    <w:p w:rsidR="00986D96" w:rsidRPr="003E2514" w:rsidRDefault="00917ADF"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106</w:t>
      </w:r>
      <w:r w:rsidRPr="003E2514">
        <w:rPr>
          <w:noProof/>
        </w:rPr>
        <w:fldChar w:fldCharType="end"/>
      </w:r>
      <w:bookmarkEnd w:id="35"/>
      <w:r w:rsidR="001F33DE" w:rsidRPr="003E2514">
        <w:t>.  </w:t>
      </w:r>
      <w:r w:rsidR="00FF5A0F" w:rsidRPr="003E2514">
        <w:t>The Court notes</w:t>
      </w:r>
      <w:r w:rsidR="00A549CA" w:rsidRPr="003E2514">
        <w:t xml:space="preserve"> at the outset </w:t>
      </w:r>
      <w:r w:rsidR="00FF5A0F" w:rsidRPr="003E2514">
        <w:t>that</w:t>
      </w:r>
      <w:r w:rsidR="007E45D9" w:rsidRPr="003E2514">
        <w:t xml:space="preserve"> </w:t>
      </w:r>
      <w:r w:rsidR="00D51AC4" w:rsidRPr="003E2514">
        <w:t>five</w:t>
      </w:r>
      <w:r w:rsidR="00273DC5" w:rsidRPr="003E2514">
        <w:t xml:space="preserve"> prison officers </w:t>
      </w:r>
      <w:r w:rsidR="005C4FFC" w:rsidRPr="003E2514">
        <w:t>were</w:t>
      </w:r>
      <w:r w:rsidR="008E7660" w:rsidRPr="003E2514">
        <w:t xml:space="preserve"> prosecuted and</w:t>
      </w:r>
      <w:r w:rsidR="005C4FFC" w:rsidRPr="003E2514">
        <w:t xml:space="preserve"> tried in connection with the </w:t>
      </w:r>
      <w:r w:rsidR="00EE344D" w:rsidRPr="003E2514">
        <w:t>impugned events</w:t>
      </w:r>
      <w:r w:rsidR="007E45D9" w:rsidRPr="003E2514">
        <w:t>, although ultimat</w:t>
      </w:r>
      <w:r w:rsidR="00BB071A" w:rsidRPr="003E2514">
        <w:t xml:space="preserve">ely no one </w:t>
      </w:r>
      <w:proofErr w:type="gramStart"/>
      <w:r w:rsidR="00BB071A" w:rsidRPr="003E2514">
        <w:t>was convicted</w:t>
      </w:r>
      <w:proofErr w:type="gramEnd"/>
      <w:r w:rsidR="00BB071A" w:rsidRPr="003E2514">
        <w:t xml:space="preserve"> on the grounds </w:t>
      </w:r>
      <w:r w:rsidR="007E45D9" w:rsidRPr="003E2514">
        <w:t>of the ill-treatment inflicted on the applicants</w:t>
      </w:r>
      <w:r w:rsidR="001F33DE" w:rsidRPr="003E2514">
        <w:t xml:space="preserve"> (see paragraphs </w:t>
      </w:r>
      <w:r w:rsidR="001F33DE" w:rsidRPr="003E2514">
        <w:fldChar w:fldCharType="begin"/>
      </w:r>
      <w:r w:rsidR="001F33DE" w:rsidRPr="003E2514">
        <w:instrText xml:space="preserve"> REF Asti_judgment \h  \* MERGEFORMAT </w:instrText>
      </w:r>
      <w:r w:rsidR="001F33DE" w:rsidRPr="003E2514">
        <w:fldChar w:fldCharType="separate"/>
      </w:r>
      <w:r w:rsidR="003E2514" w:rsidRPr="003E2514">
        <w:rPr>
          <w:noProof/>
        </w:rPr>
        <w:t>24</w:t>
      </w:r>
      <w:r w:rsidR="001F33DE" w:rsidRPr="003E2514">
        <w:fldChar w:fldCharType="end"/>
      </w:r>
      <w:r w:rsidR="001F33DE" w:rsidRPr="003E2514">
        <w:t xml:space="preserve"> to </w:t>
      </w:r>
      <w:r w:rsidR="001F33DE" w:rsidRPr="003E2514">
        <w:fldChar w:fldCharType="begin"/>
      </w:r>
      <w:r w:rsidR="001F33DE" w:rsidRPr="003E2514">
        <w:instrText xml:space="preserve"> REF Asti_judgment_end \h  \* MERGEFORMAT </w:instrText>
      </w:r>
      <w:r w:rsidR="001F33DE" w:rsidRPr="003E2514">
        <w:fldChar w:fldCharType="separate"/>
      </w:r>
      <w:r w:rsidR="003E2514" w:rsidRPr="003E2514">
        <w:rPr>
          <w:noProof/>
        </w:rPr>
        <w:t>35</w:t>
      </w:r>
      <w:r w:rsidR="001F33DE" w:rsidRPr="003E2514">
        <w:fldChar w:fldCharType="end"/>
      </w:r>
      <w:r w:rsidR="001F33DE" w:rsidRPr="003E2514">
        <w:t xml:space="preserve"> above)</w:t>
      </w:r>
      <w:r w:rsidR="007E45D9" w:rsidRPr="003E2514">
        <w:t>.</w:t>
      </w:r>
      <w:r w:rsidR="00AB130F" w:rsidRPr="003E2514">
        <w:t xml:space="preserve"> </w:t>
      </w:r>
      <w:r w:rsidR="004C2797" w:rsidRPr="003E2514">
        <w:t xml:space="preserve">One officer </w:t>
      </w:r>
      <w:proofErr w:type="gramStart"/>
      <w:r w:rsidR="004C2797" w:rsidRPr="003E2514">
        <w:t>was acquitted</w:t>
      </w:r>
      <w:proofErr w:type="gramEnd"/>
      <w:r w:rsidR="004C2797" w:rsidRPr="003E2514">
        <w:t xml:space="preserve"> of all charges</w:t>
      </w:r>
      <w:r w:rsidR="007072DB" w:rsidRPr="003E2514">
        <w:t xml:space="preserve"> and t</w:t>
      </w:r>
      <w:r w:rsidR="004C2797" w:rsidRPr="003E2514">
        <w:t xml:space="preserve">he offences for which the remaining officers were prosecuted were all declared statute-barred in the course of the first-instance proceedings (see paragraph </w:t>
      </w:r>
      <w:r w:rsidR="004C2797" w:rsidRPr="003E2514">
        <w:fldChar w:fldCharType="begin"/>
      </w:r>
      <w:r w:rsidR="004C2797" w:rsidRPr="003E2514">
        <w:instrText xml:space="preserve"> REF Asti_judgment_end \h  \* MERGEFORMAT </w:instrText>
      </w:r>
      <w:r w:rsidR="004C2797" w:rsidRPr="003E2514">
        <w:fldChar w:fldCharType="separate"/>
      </w:r>
      <w:r w:rsidR="003E2514" w:rsidRPr="003E2514">
        <w:rPr>
          <w:noProof/>
        </w:rPr>
        <w:t>35</w:t>
      </w:r>
      <w:r w:rsidR="004C2797" w:rsidRPr="003E2514">
        <w:fldChar w:fldCharType="end"/>
      </w:r>
      <w:r w:rsidR="004C2797" w:rsidRPr="003E2514">
        <w:t xml:space="preserve"> above).</w:t>
      </w:r>
    </w:p>
    <w:p w:rsidR="00FD3551" w:rsidRPr="003E2514" w:rsidRDefault="00FD3AC2"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107</w:t>
      </w:r>
      <w:r w:rsidRPr="003E2514">
        <w:fldChar w:fldCharType="end"/>
      </w:r>
      <w:r w:rsidRPr="003E2514">
        <w:t>.  In the Court</w:t>
      </w:r>
      <w:r w:rsidR="003E2514" w:rsidRPr="003E2514">
        <w:t>’</w:t>
      </w:r>
      <w:r w:rsidRPr="003E2514">
        <w:t>s view,</w:t>
      </w:r>
      <w:r w:rsidR="00C85C18" w:rsidRPr="003E2514">
        <w:t xml:space="preserve"> </w:t>
      </w:r>
      <w:r w:rsidR="00782B63" w:rsidRPr="003E2514">
        <w:t>and having considered</w:t>
      </w:r>
      <w:r w:rsidR="00150FB6" w:rsidRPr="003E2514">
        <w:t xml:space="preserve"> all the material available to it, </w:t>
      </w:r>
      <w:r w:rsidRPr="003E2514">
        <w:t xml:space="preserve">the latter outcome cannot be attributable to delays or negligence on the part of the domestic </w:t>
      </w:r>
      <w:r w:rsidR="00A17FD6" w:rsidRPr="003E2514">
        <w:t>judicial authorities</w:t>
      </w:r>
      <w:r w:rsidRPr="003E2514">
        <w:t xml:space="preserve">. </w:t>
      </w:r>
      <w:r w:rsidR="002E0725" w:rsidRPr="003E2514">
        <w:t>While</w:t>
      </w:r>
      <w:r w:rsidR="00C256CA" w:rsidRPr="003E2514">
        <w:t xml:space="preserve"> </w:t>
      </w:r>
      <w:r w:rsidR="00782B63" w:rsidRPr="003E2514">
        <w:t xml:space="preserve">the Court </w:t>
      </w:r>
      <w:r w:rsidR="002E0725" w:rsidRPr="003E2514">
        <w:t xml:space="preserve">expresses some concern over the duration of the criminal investigation, </w:t>
      </w:r>
      <w:r w:rsidR="004372A9" w:rsidRPr="003E2514">
        <w:t>it notes that the applicants neither complain</w:t>
      </w:r>
      <w:r w:rsidR="00782B63" w:rsidRPr="003E2514">
        <w:t>ed</w:t>
      </w:r>
      <w:r w:rsidR="004372A9" w:rsidRPr="003E2514">
        <w:t xml:space="preserve"> about nor provide</w:t>
      </w:r>
      <w:r w:rsidR="00782B63" w:rsidRPr="003E2514">
        <w:t>d</w:t>
      </w:r>
      <w:r w:rsidR="004372A9" w:rsidRPr="003E2514">
        <w:t xml:space="preserve"> any </w:t>
      </w:r>
      <w:r w:rsidR="00782B63" w:rsidRPr="003E2514">
        <w:t>evidence indica</w:t>
      </w:r>
      <w:r w:rsidR="004372A9" w:rsidRPr="003E2514">
        <w:t xml:space="preserve">ting unjustified delays </w:t>
      </w:r>
      <w:r w:rsidR="00EE436B" w:rsidRPr="003E2514">
        <w:t>on the part of the investigation authorities</w:t>
      </w:r>
      <w:r w:rsidR="004372A9" w:rsidRPr="003E2514">
        <w:t>.</w:t>
      </w:r>
      <w:r w:rsidR="00F710AD" w:rsidRPr="003E2514">
        <w:t xml:space="preserve"> </w:t>
      </w:r>
      <w:r w:rsidR="00A75A04" w:rsidRPr="003E2514">
        <w:t xml:space="preserve">In any event, </w:t>
      </w:r>
      <w:r w:rsidR="00795892" w:rsidRPr="003E2514">
        <w:t>du</w:t>
      </w:r>
      <w:r w:rsidR="00165ECC" w:rsidRPr="003E2514">
        <w:t xml:space="preserve">e to its findings </w:t>
      </w:r>
      <w:r w:rsidR="003F76ED" w:rsidRPr="003E2514">
        <w:t>se</w:t>
      </w:r>
      <w:r w:rsidR="00165ECC" w:rsidRPr="003E2514">
        <w:t>t</w:t>
      </w:r>
      <w:r w:rsidR="003F76ED" w:rsidRPr="003E2514">
        <w:t xml:space="preserve"> out in</w:t>
      </w:r>
      <w:r w:rsidR="00165ECC" w:rsidRPr="003E2514">
        <w:t xml:space="preserve"> paragraph </w:t>
      </w:r>
      <w:r w:rsidR="008D7D02" w:rsidRPr="003E2514">
        <w:fldChar w:fldCharType="begin"/>
      </w:r>
      <w:r w:rsidR="008D7D02" w:rsidRPr="003E2514">
        <w:instrText xml:space="preserve"> REF Systemic \h </w:instrText>
      </w:r>
      <w:r w:rsidR="008D7D02" w:rsidRPr="003E2514">
        <w:fldChar w:fldCharType="separate"/>
      </w:r>
      <w:r w:rsidR="003E2514" w:rsidRPr="003E2514">
        <w:rPr>
          <w:noProof/>
        </w:rPr>
        <w:t>111</w:t>
      </w:r>
      <w:r w:rsidR="008D7D02" w:rsidRPr="003E2514">
        <w:fldChar w:fldCharType="end"/>
      </w:r>
      <w:r w:rsidR="008D7D02" w:rsidRPr="003E2514">
        <w:t xml:space="preserve"> </w:t>
      </w:r>
      <w:r w:rsidR="00795892" w:rsidRPr="003E2514">
        <w:t>below</w:t>
      </w:r>
      <w:r w:rsidR="00A75A04" w:rsidRPr="003E2514">
        <w:t xml:space="preserve">, the Court does not find it necessary to enquire whether the investigation </w:t>
      </w:r>
      <w:proofErr w:type="gramStart"/>
      <w:r w:rsidR="003F76ED" w:rsidRPr="003E2514">
        <w:t xml:space="preserve">can </w:t>
      </w:r>
      <w:r w:rsidR="00A75A04" w:rsidRPr="003E2514">
        <w:t>be considered</w:t>
      </w:r>
      <w:proofErr w:type="gramEnd"/>
      <w:r w:rsidR="00A75A04" w:rsidRPr="003E2514">
        <w:t xml:space="preserve"> as having been conducted with reasonable expedition.</w:t>
      </w:r>
    </w:p>
    <w:p w:rsidR="00986D96" w:rsidRPr="003E2514" w:rsidRDefault="001C0EDC"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108</w:t>
      </w:r>
      <w:r w:rsidRPr="003E2514">
        <w:fldChar w:fldCharType="end"/>
      </w:r>
      <w:r w:rsidRPr="003E2514">
        <w:t>.  </w:t>
      </w:r>
      <w:r w:rsidR="002006B5" w:rsidRPr="003E2514">
        <w:t>As to the conduct of the domestic proceedings, t</w:t>
      </w:r>
      <w:r w:rsidR="00FD3AC2" w:rsidRPr="003E2514">
        <w:t xml:space="preserve">he Court </w:t>
      </w:r>
      <w:r w:rsidR="00782B63" w:rsidRPr="003E2514">
        <w:t>takes the view</w:t>
      </w:r>
      <w:r w:rsidR="00FD3AC2" w:rsidRPr="003E2514">
        <w:t xml:space="preserve"> that the domestic court cannot be criticised for having wrongly assessed the seriousness of the charges against the accused (see, in contrast, </w:t>
      </w:r>
      <w:proofErr w:type="spellStart"/>
      <w:r w:rsidR="00FD3AC2" w:rsidRPr="003E2514">
        <w:rPr>
          <w:i/>
        </w:rPr>
        <w:t>Saba</w:t>
      </w:r>
      <w:proofErr w:type="spellEnd"/>
      <w:r w:rsidR="00FD3AC2" w:rsidRPr="003E2514">
        <w:t xml:space="preserve">, cited above, § 80) or for having used the legislative and punitive provisions of domestic law to prevent the conviction of the prosecuted </w:t>
      </w:r>
      <w:r w:rsidR="00782B63" w:rsidRPr="003E2514">
        <w:t>S</w:t>
      </w:r>
      <w:r w:rsidR="00FD3AC2" w:rsidRPr="003E2514">
        <w:t xml:space="preserve">tate agents (see, in contrast, </w:t>
      </w:r>
      <w:proofErr w:type="spellStart"/>
      <w:r w:rsidR="00FD3AC2" w:rsidRPr="003E2514">
        <w:rPr>
          <w:i/>
        </w:rPr>
        <w:t>Zeynep</w:t>
      </w:r>
      <w:proofErr w:type="spellEnd"/>
      <w:r w:rsidR="00FD3AC2" w:rsidRPr="003E2514">
        <w:rPr>
          <w:i/>
        </w:rPr>
        <w:t xml:space="preserve"> </w:t>
      </w:r>
      <w:proofErr w:type="spellStart"/>
      <w:r w:rsidR="00FD3AC2" w:rsidRPr="003E2514">
        <w:rPr>
          <w:i/>
        </w:rPr>
        <w:t>Özcan</w:t>
      </w:r>
      <w:proofErr w:type="spellEnd"/>
      <w:r w:rsidR="00FD3AC2" w:rsidRPr="003E2514">
        <w:rPr>
          <w:i/>
        </w:rPr>
        <w:t xml:space="preserve"> v. Turkey</w:t>
      </w:r>
      <w:r w:rsidR="00FD3AC2" w:rsidRPr="003E2514">
        <w:t>, no. 45906/99, §</w:t>
      </w:r>
      <w:r w:rsidR="00B24E96" w:rsidRPr="003E2514">
        <w:t> </w:t>
      </w:r>
      <w:r w:rsidR="00FD3AC2" w:rsidRPr="003E2514">
        <w:t>43, 20</w:t>
      </w:r>
      <w:r w:rsidR="00782B63" w:rsidRPr="003E2514">
        <w:t> </w:t>
      </w:r>
      <w:r w:rsidR="00FD3AC2" w:rsidRPr="003E2514">
        <w:t>February 2007).</w:t>
      </w:r>
    </w:p>
    <w:p w:rsidR="00986D96" w:rsidRPr="003E2514" w:rsidRDefault="00FD3AC2"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109</w:t>
      </w:r>
      <w:r w:rsidRPr="003E2514">
        <w:fldChar w:fldCharType="end"/>
      </w:r>
      <w:r w:rsidRPr="003E2514">
        <w:t xml:space="preserve">.  The Court considers, rather, that the </w:t>
      </w:r>
      <w:r w:rsidR="0033165C" w:rsidRPr="003E2514">
        <w:t>domestic</w:t>
      </w:r>
      <w:r w:rsidRPr="003E2514">
        <w:t xml:space="preserve"> court took a very firm stance and in no way sought to justify or downplay the impugned conduct. </w:t>
      </w:r>
      <w:r w:rsidR="00B6608B" w:rsidRPr="003E2514">
        <w:t>The</w:t>
      </w:r>
      <w:r w:rsidRPr="003E2514">
        <w:t xml:space="preserve"> </w:t>
      </w:r>
      <w:r w:rsidR="004E513F" w:rsidRPr="003E2514">
        <w:t xml:space="preserve">domestic </w:t>
      </w:r>
      <w:r w:rsidRPr="003E2514">
        <w:t xml:space="preserve">court made a genuine effort to establish the facts and </w:t>
      </w:r>
      <w:r w:rsidR="00782B63" w:rsidRPr="003E2514">
        <w:t xml:space="preserve">to </w:t>
      </w:r>
      <w:r w:rsidRPr="003E2514">
        <w:t>identify the individuals responsible for the treatment inflicted on the applicants. It cannot therefore be denied that the court</w:t>
      </w:r>
      <w:r w:rsidR="001D2103" w:rsidRPr="003E2514">
        <w:t xml:space="preserve"> at issue</w:t>
      </w:r>
      <w:r w:rsidRPr="003E2514">
        <w:t xml:space="preserve"> submitted the case before it to a “scrupulous examination”, as required under Article 3 of the Convention</w:t>
      </w:r>
      <w:r w:rsidR="00901F1C" w:rsidRPr="003E2514">
        <w:t xml:space="preserve"> (see</w:t>
      </w:r>
      <w:r w:rsidR="00951414" w:rsidRPr="003E2514">
        <w:t xml:space="preserve"> </w:t>
      </w:r>
      <w:proofErr w:type="spellStart"/>
      <w:r w:rsidR="00951414" w:rsidRPr="003E2514">
        <w:rPr>
          <w:i/>
        </w:rPr>
        <w:t>Cestaro</w:t>
      </w:r>
      <w:proofErr w:type="spellEnd"/>
      <w:r w:rsidR="00951414" w:rsidRPr="003E2514">
        <w:t>, cited above, § 206</w:t>
      </w:r>
      <w:r w:rsidR="00901F1C" w:rsidRPr="003E2514">
        <w:t>)</w:t>
      </w:r>
      <w:r w:rsidRPr="003E2514">
        <w:t>.</w:t>
      </w:r>
    </w:p>
    <w:p w:rsidR="00AC3D23" w:rsidRPr="003E2514" w:rsidRDefault="00FD3AC2"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110</w:t>
      </w:r>
      <w:r w:rsidRPr="003E2514">
        <w:fldChar w:fldCharType="end"/>
      </w:r>
      <w:r w:rsidRPr="003E2514">
        <w:t xml:space="preserve">.  However, the domestic court concluded that, under Italian law, </w:t>
      </w:r>
      <w:r w:rsidR="00EF1F0A" w:rsidRPr="003E2514">
        <w:t>at the time</w:t>
      </w:r>
      <w:r w:rsidR="009428DD" w:rsidRPr="003E2514">
        <w:t xml:space="preserve"> of the decision</w:t>
      </w:r>
      <w:r w:rsidR="00EF1F0A" w:rsidRPr="003E2514">
        <w:t xml:space="preserve"> </w:t>
      </w:r>
      <w:r w:rsidRPr="003E2514">
        <w:t xml:space="preserve">there existed no legal provision that would allow it </w:t>
      </w:r>
      <w:r w:rsidRPr="003E2514">
        <w:lastRenderedPageBreak/>
        <w:t xml:space="preserve">to classify the impugned treatment as torture (see paragraph </w:t>
      </w:r>
      <w:r w:rsidRPr="003E2514">
        <w:fldChar w:fldCharType="begin"/>
      </w:r>
      <w:r w:rsidRPr="003E2514">
        <w:instrText xml:space="preserve"> REF Asti_legal_torture \h  \* MERGEFORMAT </w:instrText>
      </w:r>
      <w:r w:rsidRPr="003E2514">
        <w:fldChar w:fldCharType="separate"/>
      </w:r>
      <w:r w:rsidR="003E2514" w:rsidRPr="003E2514">
        <w:t>33</w:t>
      </w:r>
      <w:r w:rsidRPr="003E2514">
        <w:fldChar w:fldCharType="end"/>
      </w:r>
      <w:r w:rsidRPr="003E2514">
        <w:t xml:space="preserve"> above). The</w:t>
      </w:r>
      <w:r w:rsidR="00CE5B46" w:rsidRPr="003E2514">
        <w:t xml:space="preserve"> </w:t>
      </w:r>
      <w:r w:rsidRPr="003E2514">
        <w:t>court thus</w:t>
      </w:r>
      <w:r w:rsidR="00AF3969" w:rsidRPr="003E2514">
        <w:t xml:space="preserve"> had to </w:t>
      </w:r>
      <w:r w:rsidR="00782B63" w:rsidRPr="003E2514">
        <w:t>turn to</w:t>
      </w:r>
      <w:r w:rsidR="00AF3969" w:rsidRPr="003E2514">
        <w:t xml:space="preserve"> other</w:t>
      </w:r>
      <w:r w:rsidR="009428DD" w:rsidRPr="003E2514">
        <w:t>,</w:t>
      </w:r>
      <w:r w:rsidR="00AF3969" w:rsidRPr="003E2514">
        <w:t xml:space="preserve"> existing offen</w:t>
      </w:r>
      <w:r w:rsidR="00782B63" w:rsidRPr="003E2514">
        <w:t>c</w:t>
      </w:r>
      <w:r w:rsidR="00AF3969" w:rsidRPr="003E2514">
        <w:t xml:space="preserve">es, </w:t>
      </w:r>
      <w:r w:rsidR="00782B63" w:rsidRPr="003E2514">
        <w:t>nam</w:t>
      </w:r>
      <w:r w:rsidR="00AF3969" w:rsidRPr="003E2514">
        <w:t>ely</w:t>
      </w:r>
      <w:r w:rsidRPr="003E2514">
        <w:t xml:space="preserve"> </w:t>
      </w:r>
      <w:r w:rsidR="003C79B1" w:rsidRPr="003E2514">
        <w:t>the provisions of the Criminal C</w:t>
      </w:r>
      <w:r w:rsidRPr="003E2514">
        <w:t xml:space="preserve">ode relating to abuse of authority against detained persons and </w:t>
      </w:r>
      <w:r w:rsidR="00782B63" w:rsidRPr="003E2514">
        <w:t xml:space="preserve">the </w:t>
      </w:r>
      <w:r w:rsidRPr="003E2514">
        <w:t xml:space="preserve">infliction of bodily harm (see paragraph </w:t>
      </w:r>
      <w:r w:rsidRPr="003E2514">
        <w:fldChar w:fldCharType="begin"/>
      </w:r>
      <w:r w:rsidRPr="003E2514">
        <w:instrText xml:space="preserve"> REF Asti_judgment_end \h  \* MERGEFORMAT </w:instrText>
      </w:r>
      <w:r w:rsidRPr="003E2514">
        <w:fldChar w:fldCharType="separate"/>
      </w:r>
      <w:r w:rsidR="003E2514" w:rsidRPr="003E2514">
        <w:t>35</w:t>
      </w:r>
      <w:r w:rsidRPr="003E2514">
        <w:fldChar w:fldCharType="end"/>
      </w:r>
      <w:r w:rsidRPr="003E2514">
        <w:t xml:space="preserve"> above).</w:t>
      </w:r>
      <w:r w:rsidR="003B39A7" w:rsidRPr="003E2514">
        <w:t xml:space="preserve"> </w:t>
      </w:r>
      <w:r w:rsidR="009A6C06" w:rsidRPr="003E2514">
        <w:t xml:space="preserve">The latter offences </w:t>
      </w:r>
      <w:r w:rsidR="00AC3D23" w:rsidRPr="003E2514">
        <w:t>appear</w:t>
      </w:r>
      <w:r w:rsidR="009A6C06" w:rsidRPr="003E2514">
        <w:t>, in the Court</w:t>
      </w:r>
      <w:r w:rsidR="003E2514" w:rsidRPr="003E2514">
        <w:t>’</w:t>
      </w:r>
      <w:r w:rsidR="009A6C06" w:rsidRPr="003E2514">
        <w:t xml:space="preserve">s view, </w:t>
      </w:r>
      <w:r w:rsidR="00AC3D23" w:rsidRPr="003E2514">
        <w:t>incapable of addressing the full range of issues en</w:t>
      </w:r>
      <w:r w:rsidR="00730DCB" w:rsidRPr="003E2514">
        <w:t>suing from</w:t>
      </w:r>
      <w:r w:rsidR="00AC3D23" w:rsidRPr="003E2514">
        <w:t xml:space="preserve"> the acts of torture which the applicants suffered</w:t>
      </w:r>
      <w:r w:rsidR="002A41D6" w:rsidRPr="003E2514">
        <w:t xml:space="preserve"> (see </w:t>
      </w:r>
      <w:proofErr w:type="spellStart"/>
      <w:r w:rsidR="00301B66" w:rsidRPr="003E2514">
        <w:rPr>
          <w:i/>
        </w:rPr>
        <w:t>Myumyun</w:t>
      </w:r>
      <w:proofErr w:type="spellEnd"/>
      <w:r w:rsidR="00301B66" w:rsidRPr="003E2514">
        <w:rPr>
          <w:i/>
        </w:rPr>
        <w:t xml:space="preserve"> v. Bulgaria</w:t>
      </w:r>
      <w:r w:rsidR="00301B66" w:rsidRPr="003E2514">
        <w:t>, no. 67258/13</w:t>
      </w:r>
      <w:r w:rsidR="00301B66" w:rsidRPr="003E2514">
        <w:rPr>
          <w:snapToGrid w:val="0"/>
        </w:rPr>
        <w:t xml:space="preserve">, § </w:t>
      </w:r>
      <w:r w:rsidR="00D77771" w:rsidRPr="003E2514">
        <w:rPr>
          <w:snapToGrid w:val="0"/>
        </w:rPr>
        <w:t>77</w:t>
      </w:r>
      <w:r w:rsidR="00301B66" w:rsidRPr="003E2514">
        <w:rPr>
          <w:snapToGrid w:val="0"/>
        </w:rPr>
        <w:t>, 3 November 2015</w:t>
      </w:r>
      <w:r w:rsidR="002A41D6" w:rsidRPr="003E2514">
        <w:t>)</w:t>
      </w:r>
      <w:r w:rsidR="00B0497B" w:rsidRPr="003E2514">
        <w:t xml:space="preserve">. </w:t>
      </w:r>
      <w:r w:rsidR="00046E94" w:rsidRPr="003E2514">
        <w:t xml:space="preserve">Moreover, they </w:t>
      </w:r>
      <w:r w:rsidR="00AC3D23" w:rsidRPr="003E2514">
        <w:t xml:space="preserve">were also subject to statutory limitation periods, </w:t>
      </w:r>
      <w:r w:rsidR="00247582" w:rsidRPr="003E2514">
        <w:t xml:space="preserve">a circumstance </w:t>
      </w:r>
      <w:r w:rsidR="00AC3D23" w:rsidRPr="003E2514">
        <w:t>which in itself sits uneasily with the Court</w:t>
      </w:r>
      <w:r w:rsidR="003E2514" w:rsidRPr="003E2514">
        <w:t>’</w:t>
      </w:r>
      <w:r w:rsidR="00AC3D23" w:rsidRPr="003E2514">
        <w:t>s case</w:t>
      </w:r>
      <w:r w:rsidR="00247582" w:rsidRPr="003E2514">
        <w:noBreakHyphen/>
      </w:r>
      <w:r w:rsidR="00AC3D23" w:rsidRPr="003E2514">
        <w:t>law</w:t>
      </w:r>
      <w:r w:rsidR="00F470C0" w:rsidRPr="003E2514">
        <w:t xml:space="preserve"> concerning </w:t>
      </w:r>
      <w:r w:rsidR="009A24B6" w:rsidRPr="003E2514">
        <w:t>torture or ill</w:t>
      </w:r>
      <w:r w:rsidR="009A24B6" w:rsidRPr="003E2514">
        <w:noBreakHyphen/>
      </w:r>
      <w:r w:rsidR="00051832" w:rsidRPr="003E2514">
        <w:t>treatment inflicted by state agents</w:t>
      </w:r>
      <w:r w:rsidR="00AC3D23" w:rsidRPr="003E2514">
        <w:t xml:space="preserve"> (see </w:t>
      </w:r>
      <w:proofErr w:type="spellStart"/>
      <w:r w:rsidR="00C706FB" w:rsidRPr="003E2514">
        <w:rPr>
          <w:i/>
        </w:rPr>
        <w:t>Cestaro</w:t>
      </w:r>
      <w:proofErr w:type="spellEnd"/>
      <w:r w:rsidR="00C706FB" w:rsidRPr="003E2514">
        <w:t>, cited above, § 208</w:t>
      </w:r>
      <w:r w:rsidR="009134FB" w:rsidRPr="003E2514">
        <w:t xml:space="preserve"> and </w:t>
      </w:r>
      <w:proofErr w:type="spellStart"/>
      <w:r w:rsidR="00A067DA" w:rsidRPr="003E2514">
        <w:rPr>
          <w:i/>
        </w:rPr>
        <w:t>Abdülsamet</w:t>
      </w:r>
      <w:proofErr w:type="spellEnd"/>
      <w:r w:rsidR="00A067DA" w:rsidRPr="003E2514">
        <w:rPr>
          <w:i/>
        </w:rPr>
        <w:t xml:space="preserve"> </w:t>
      </w:r>
      <w:proofErr w:type="spellStart"/>
      <w:r w:rsidR="00A067DA" w:rsidRPr="003E2514">
        <w:rPr>
          <w:i/>
        </w:rPr>
        <w:t>Yaman</w:t>
      </w:r>
      <w:proofErr w:type="spellEnd"/>
      <w:r w:rsidR="00A067DA" w:rsidRPr="003E2514">
        <w:rPr>
          <w:i/>
        </w:rPr>
        <w:t xml:space="preserve"> v. Turkey</w:t>
      </w:r>
      <w:r w:rsidR="00A067DA" w:rsidRPr="003E2514">
        <w:t>, no. 32446/96, § 55, 2</w:t>
      </w:r>
      <w:r w:rsidR="00165CBA" w:rsidRPr="003E2514">
        <w:t> </w:t>
      </w:r>
      <w:r w:rsidR="00A067DA" w:rsidRPr="003E2514">
        <w:t>November 2004</w:t>
      </w:r>
      <w:r w:rsidR="00AC3D23" w:rsidRPr="003E2514">
        <w:t>).</w:t>
      </w:r>
    </w:p>
    <w:bookmarkStart w:id="36" w:name="Systemic"/>
    <w:p w:rsidR="00986D96" w:rsidRPr="003E2514" w:rsidRDefault="009A48DE"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111</w:t>
      </w:r>
      <w:r w:rsidRPr="003E2514">
        <w:fldChar w:fldCharType="end"/>
      </w:r>
      <w:bookmarkEnd w:id="36"/>
      <w:r w:rsidRPr="003E2514">
        <w:t>.  </w:t>
      </w:r>
      <w:r w:rsidR="00AC3D23" w:rsidRPr="003E2514">
        <w:t xml:space="preserve">Based on the foregoing considerations, the Court considers that the core of the problem resides not in the conduct of the domestic judicial authorities but rather in a systemic deficiency </w:t>
      </w:r>
      <w:r w:rsidR="003B39A7" w:rsidRPr="003E2514">
        <w:t xml:space="preserve">which was </w:t>
      </w:r>
      <w:r w:rsidR="00AC3D23" w:rsidRPr="003E2514">
        <w:t>characteristic of the Italian criminal law framework</w:t>
      </w:r>
      <w:r w:rsidR="003B39A7" w:rsidRPr="003E2514">
        <w:t xml:space="preserve"> at the material time</w:t>
      </w:r>
      <w:r w:rsidR="00AC3D23" w:rsidRPr="003E2514">
        <w:t xml:space="preserve">, as had already been identified in </w:t>
      </w:r>
      <w:proofErr w:type="spellStart"/>
      <w:r w:rsidR="00AC3D23" w:rsidRPr="003E2514">
        <w:rPr>
          <w:i/>
        </w:rPr>
        <w:t>Cestaro</w:t>
      </w:r>
      <w:proofErr w:type="spellEnd"/>
      <w:r w:rsidR="00AC3D23" w:rsidRPr="003E2514">
        <w:t xml:space="preserve"> (cited above, § 225). In the present case, this lacuna in the legal system, and in particular the absence of provisions penalising </w:t>
      </w:r>
      <w:r w:rsidR="00730DCB" w:rsidRPr="003E2514">
        <w:t xml:space="preserve">the </w:t>
      </w:r>
      <w:r w:rsidR="00AC3D23" w:rsidRPr="003E2514">
        <w:t>practices referred to in Article 3 and, where appropriate, providing for the imposition of adequate penalties, rendered the domestic court</w:t>
      </w:r>
      <w:r w:rsidR="0042613E" w:rsidRPr="003E2514">
        <w:t>s</w:t>
      </w:r>
      <w:r w:rsidR="00AC3D23" w:rsidRPr="003E2514">
        <w:t xml:space="preserve"> ill-equipped to perform an essential function, namely that of ensuring that treatment contrary to Article 3 perpetrated by State agents does not go unpunished</w:t>
      </w:r>
      <w:r w:rsidR="002C751C" w:rsidRPr="003E2514">
        <w:t>.</w:t>
      </w:r>
      <w:r w:rsidR="0068561C" w:rsidRPr="003E2514">
        <w:t xml:space="preserve"> </w:t>
      </w:r>
      <w:r w:rsidR="00AC3D23" w:rsidRPr="003E2514">
        <w:t xml:space="preserve">This, in turn, may be viewed as having </w:t>
      </w:r>
      <w:r w:rsidR="002C751C" w:rsidRPr="003E2514">
        <w:t xml:space="preserve">had </w:t>
      </w:r>
      <w:r w:rsidR="00AC3D23" w:rsidRPr="003E2514">
        <w:t xml:space="preserve">the broader effect of weakening the deterrent power of the judicial system and the vital role it ought to </w:t>
      </w:r>
      <w:r w:rsidR="002C751C" w:rsidRPr="003E2514">
        <w:t>be</w:t>
      </w:r>
      <w:r w:rsidR="00AC3D23" w:rsidRPr="003E2514">
        <w:t xml:space="preserve"> able to play in upholding the prohibition of torture.</w:t>
      </w:r>
    </w:p>
    <w:p w:rsidR="00AC3D23" w:rsidRPr="003E2514" w:rsidRDefault="00C54587" w:rsidP="003E2514">
      <w:pPr>
        <w:pStyle w:val="ECHRPara"/>
        <w:rPr>
          <w:i/>
        </w:rPr>
      </w:pPr>
      <w:r w:rsidRPr="003E2514">
        <w:fldChar w:fldCharType="begin"/>
      </w:r>
      <w:r w:rsidRPr="003E2514">
        <w:instrText xml:space="preserve"> SEQ level0 \*arabic </w:instrText>
      </w:r>
      <w:r w:rsidRPr="003E2514">
        <w:fldChar w:fldCharType="separate"/>
      </w:r>
      <w:r w:rsidR="003E2514" w:rsidRPr="003E2514">
        <w:rPr>
          <w:noProof/>
        </w:rPr>
        <w:t>112</w:t>
      </w:r>
      <w:r w:rsidRPr="003E2514">
        <w:fldChar w:fldCharType="end"/>
      </w:r>
      <w:r w:rsidRPr="003E2514">
        <w:t>.  </w:t>
      </w:r>
      <w:r w:rsidR="00AC3D23" w:rsidRPr="003E2514">
        <w:t>The Court is therefore led to the conclusion that the criminal legislation</w:t>
      </w:r>
      <w:r w:rsidR="00EC7E56" w:rsidRPr="003E2514">
        <w:t xml:space="preserve"> which was applied</w:t>
      </w:r>
      <w:r w:rsidR="00AC3D23" w:rsidRPr="003E2514">
        <w:t xml:space="preserve"> in the instant case proved</w:t>
      </w:r>
      <w:r w:rsidR="007E3786" w:rsidRPr="003E2514">
        <w:t xml:space="preserve">, as it did in </w:t>
      </w:r>
      <w:proofErr w:type="spellStart"/>
      <w:r w:rsidR="007E3786" w:rsidRPr="003E2514">
        <w:rPr>
          <w:i/>
        </w:rPr>
        <w:t>Cestaro</w:t>
      </w:r>
      <w:proofErr w:type="spellEnd"/>
      <w:r w:rsidR="007E3786" w:rsidRPr="003E2514">
        <w:t xml:space="preserve"> (cited above, § 225),</w:t>
      </w:r>
      <w:r w:rsidR="00AC3D23" w:rsidRPr="003E2514">
        <w:t xml:space="preserve"> both inadequate in terms of </w:t>
      </w:r>
      <w:r w:rsidR="00730DCB" w:rsidRPr="003E2514">
        <w:t>its capacity</w:t>
      </w:r>
      <w:r w:rsidR="00AC3D23" w:rsidRPr="003E2514">
        <w:t xml:space="preserve"> to punish the acts of torture in issue and devoid of any deterrent effect capable of preventing similar future violations of Article 3.</w:t>
      </w:r>
    </w:p>
    <w:p w:rsidR="00986D96" w:rsidRPr="003E2514" w:rsidRDefault="001B5D8A"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113</w:t>
      </w:r>
      <w:r w:rsidRPr="003E2514">
        <w:fldChar w:fldCharType="end"/>
      </w:r>
      <w:r w:rsidRPr="003E2514">
        <w:t>.  </w:t>
      </w:r>
      <w:r w:rsidR="00CF5E45" w:rsidRPr="003E2514">
        <w:t>Turning to the issue of disciplinary measures, t</w:t>
      </w:r>
      <w:r w:rsidRPr="003E2514">
        <w:t>he Court acknowledges the Government</w:t>
      </w:r>
      <w:r w:rsidR="003E2514" w:rsidRPr="003E2514">
        <w:t>’</w:t>
      </w:r>
      <w:r w:rsidRPr="003E2514">
        <w:t xml:space="preserve">s </w:t>
      </w:r>
      <w:r w:rsidR="0090565C" w:rsidRPr="003E2514">
        <w:t>observation</w:t>
      </w:r>
      <w:r w:rsidR="000D1DCA" w:rsidRPr="003E2514">
        <w:t xml:space="preserve">s </w:t>
      </w:r>
      <w:r w:rsidR="00CF5E45" w:rsidRPr="003E2514">
        <w:t>to the effect that</w:t>
      </w:r>
      <w:r w:rsidR="000D1DCA" w:rsidRPr="003E2514">
        <w:t xml:space="preserve"> disciplinary proceedings</w:t>
      </w:r>
      <w:r w:rsidR="00CF5E45" w:rsidRPr="003E2514">
        <w:t xml:space="preserve"> were</w:t>
      </w:r>
      <w:r w:rsidR="000D1DCA" w:rsidRPr="003E2514">
        <w:t xml:space="preserve"> </w:t>
      </w:r>
      <w:r w:rsidR="00F6456B" w:rsidRPr="003E2514">
        <w:t xml:space="preserve">conducted against four </w:t>
      </w:r>
      <w:r w:rsidR="00DA050E" w:rsidRPr="003E2514">
        <w:t xml:space="preserve">prison </w:t>
      </w:r>
      <w:r w:rsidR="00F6456B" w:rsidRPr="003E2514">
        <w:t>officers</w:t>
      </w:r>
      <w:r w:rsidR="00E9139A" w:rsidRPr="003E2514">
        <w:t xml:space="preserve"> following the conclusion of the criminal proceedings</w:t>
      </w:r>
      <w:r w:rsidRPr="003E2514">
        <w:t>.</w:t>
      </w:r>
      <w:r w:rsidR="002E3495" w:rsidRPr="003E2514">
        <w:t xml:space="preserve"> In this respect, the </w:t>
      </w:r>
      <w:r w:rsidR="00B52B0D" w:rsidRPr="003E2514">
        <w:t xml:space="preserve">Court </w:t>
      </w:r>
      <w:r w:rsidR="00AC4727" w:rsidRPr="003E2514">
        <w:t xml:space="preserve">does not question </w:t>
      </w:r>
      <w:r w:rsidR="00264921" w:rsidRPr="003E2514">
        <w:t xml:space="preserve">the serious scrutiny to which the </w:t>
      </w:r>
      <w:proofErr w:type="gramStart"/>
      <w:r w:rsidR="00DA050E" w:rsidRPr="003E2514">
        <w:t xml:space="preserve">prison </w:t>
      </w:r>
      <w:r w:rsidR="00264921" w:rsidRPr="003E2514">
        <w:t>officers</w:t>
      </w:r>
      <w:r w:rsidR="003E2514" w:rsidRPr="003E2514">
        <w:t>’</w:t>
      </w:r>
      <w:r w:rsidR="00264921" w:rsidRPr="003E2514">
        <w:t xml:space="preserve"> actions were subjected to by the </w:t>
      </w:r>
      <w:r w:rsidR="009240F6" w:rsidRPr="003E2514">
        <w:t>disciplinary bodies</w:t>
      </w:r>
      <w:proofErr w:type="gramEnd"/>
      <w:r w:rsidR="009240F6" w:rsidRPr="003E2514">
        <w:t xml:space="preserve"> and </w:t>
      </w:r>
      <w:r w:rsidR="00B4448D" w:rsidRPr="003E2514">
        <w:t xml:space="preserve">notes </w:t>
      </w:r>
      <w:r w:rsidR="00A240E3" w:rsidRPr="003E2514">
        <w:t>that</w:t>
      </w:r>
      <w:r w:rsidR="009240F6" w:rsidRPr="003E2514">
        <w:t xml:space="preserve"> </w:t>
      </w:r>
      <w:r w:rsidR="00A240E3" w:rsidRPr="003E2514">
        <w:t>disciplinary</w:t>
      </w:r>
      <w:r w:rsidR="0093463A" w:rsidRPr="003E2514">
        <w:t xml:space="preserve"> measures </w:t>
      </w:r>
      <w:r w:rsidR="009240F6" w:rsidRPr="003E2514">
        <w:t>were imposed</w:t>
      </w:r>
      <w:r w:rsidR="00CC65BE" w:rsidRPr="003E2514">
        <w:t xml:space="preserve"> as a consequence</w:t>
      </w:r>
      <w:r w:rsidR="00E50EE5" w:rsidRPr="003E2514">
        <w:t xml:space="preserve"> (see </w:t>
      </w:r>
      <w:r w:rsidR="0039746E" w:rsidRPr="003E2514">
        <w:t xml:space="preserve">paragraph </w:t>
      </w:r>
      <w:r w:rsidR="002D4133" w:rsidRPr="003E2514">
        <w:fldChar w:fldCharType="begin"/>
      </w:r>
      <w:r w:rsidR="002D4133" w:rsidRPr="003E2514">
        <w:instrText xml:space="preserve"> REF Disciplinary_proceedings \h </w:instrText>
      </w:r>
      <w:r w:rsidR="000509A6" w:rsidRPr="003E2514">
        <w:instrText xml:space="preserve"> \* MERGEFORMAT </w:instrText>
      </w:r>
      <w:r w:rsidR="002D4133" w:rsidRPr="003E2514">
        <w:fldChar w:fldCharType="separate"/>
      </w:r>
      <w:r w:rsidR="003E2514" w:rsidRPr="003E2514">
        <w:rPr>
          <w:noProof/>
        </w:rPr>
        <w:t>44</w:t>
      </w:r>
      <w:r w:rsidR="002D4133" w:rsidRPr="003E2514">
        <w:fldChar w:fldCharType="end"/>
      </w:r>
      <w:r w:rsidR="0039746E" w:rsidRPr="003E2514">
        <w:t xml:space="preserve"> above</w:t>
      </w:r>
      <w:r w:rsidR="00E50EE5" w:rsidRPr="003E2514">
        <w:t>)</w:t>
      </w:r>
      <w:r w:rsidR="00973ABE" w:rsidRPr="003E2514">
        <w:t>.</w:t>
      </w:r>
    </w:p>
    <w:p w:rsidR="00986D96" w:rsidRPr="003E2514" w:rsidRDefault="00F2161A"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114</w:t>
      </w:r>
      <w:r w:rsidRPr="003E2514">
        <w:fldChar w:fldCharType="end"/>
      </w:r>
      <w:r w:rsidRPr="003E2514">
        <w:t>.  </w:t>
      </w:r>
      <w:r w:rsidR="00730DCB" w:rsidRPr="003E2514">
        <w:t xml:space="preserve">Whilst </w:t>
      </w:r>
      <w:r w:rsidR="002202AB" w:rsidRPr="003E2514">
        <w:t>acknowledg</w:t>
      </w:r>
      <w:r w:rsidR="00730DCB" w:rsidRPr="003E2514">
        <w:t>ing</w:t>
      </w:r>
      <w:r w:rsidR="002202AB" w:rsidRPr="003E2514">
        <w:t xml:space="preserve"> </w:t>
      </w:r>
      <w:r w:rsidR="00632EC3" w:rsidRPr="003E2514">
        <w:t>the importance of disciplinary measures</w:t>
      </w:r>
      <w:r w:rsidR="00730DCB" w:rsidRPr="003E2514">
        <w:t xml:space="preserve"> </w:t>
      </w:r>
      <w:r w:rsidR="00730DCB" w:rsidRPr="003E2514">
        <w:rPr>
          <w:rFonts w:cstheme="minorHAnsi"/>
        </w:rPr>
        <w:t>–</w:t>
      </w:r>
      <w:r w:rsidR="00632EC3" w:rsidRPr="003E2514">
        <w:t xml:space="preserve"> as</w:t>
      </w:r>
      <w:r w:rsidR="00D61A69" w:rsidRPr="003E2514">
        <w:t xml:space="preserve"> it has often</w:t>
      </w:r>
      <w:r w:rsidR="00632EC3" w:rsidRPr="003E2514">
        <w:t xml:space="preserve"> recognised in its case</w:t>
      </w:r>
      <w:r w:rsidR="001C120B" w:rsidRPr="003E2514">
        <w:noBreakHyphen/>
      </w:r>
      <w:r w:rsidR="00632EC3" w:rsidRPr="003E2514">
        <w:t>law (</w:t>
      </w:r>
      <w:r w:rsidR="00733E89" w:rsidRPr="003E2514">
        <w:t xml:space="preserve">see </w:t>
      </w:r>
      <w:proofErr w:type="spellStart"/>
      <w:r w:rsidR="00733E89" w:rsidRPr="003E2514">
        <w:rPr>
          <w:i/>
        </w:rPr>
        <w:t>Gäfgen</w:t>
      </w:r>
      <w:proofErr w:type="spellEnd"/>
      <w:r w:rsidR="00733E89" w:rsidRPr="003E2514">
        <w:t>, cited above, § 121</w:t>
      </w:r>
      <w:r w:rsidR="00AC0368" w:rsidRPr="003E2514">
        <w:t>,</w:t>
      </w:r>
      <w:r w:rsidR="00733E89" w:rsidRPr="003E2514">
        <w:t xml:space="preserve"> and </w:t>
      </w:r>
      <w:proofErr w:type="spellStart"/>
      <w:r w:rsidR="00733E89" w:rsidRPr="003E2514">
        <w:rPr>
          <w:i/>
        </w:rPr>
        <w:t>Saba</w:t>
      </w:r>
      <w:proofErr w:type="spellEnd"/>
      <w:r w:rsidR="00733E89" w:rsidRPr="003E2514">
        <w:t>, cited above, § 76</w:t>
      </w:r>
      <w:r w:rsidR="00B17B84" w:rsidRPr="003E2514">
        <w:t>)</w:t>
      </w:r>
      <w:r w:rsidR="00730DCB" w:rsidRPr="003E2514">
        <w:t xml:space="preserve"> </w:t>
      </w:r>
      <w:r w:rsidR="00730DCB" w:rsidRPr="003E2514">
        <w:rPr>
          <w:rFonts w:cstheme="minorHAnsi"/>
        </w:rPr>
        <w:t>–</w:t>
      </w:r>
      <w:r w:rsidR="00B45AE7" w:rsidRPr="003E2514">
        <w:t xml:space="preserve"> </w:t>
      </w:r>
      <w:r w:rsidR="00175E0F" w:rsidRPr="003E2514">
        <w:t xml:space="preserve">the Court </w:t>
      </w:r>
      <w:r w:rsidR="00730DCB" w:rsidRPr="003E2514">
        <w:t xml:space="preserve">nevertheless </w:t>
      </w:r>
      <w:r w:rsidR="00175E0F" w:rsidRPr="003E2514">
        <w:t xml:space="preserve">considers that </w:t>
      </w:r>
      <w:r w:rsidR="0089227C" w:rsidRPr="003E2514">
        <w:t xml:space="preserve">the imposition </w:t>
      </w:r>
      <w:r w:rsidR="001C120B" w:rsidRPr="003E2514">
        <w:t xml:space="preserve">of </w:t>
      </w:r>
      <w:r w:rsidR="00175E0F" w:rsidRPr="003E2514">
        <w:t xml:space="preserve">disciplinary </w:t>
      </w:r>
      <w:r w:rsidR="0089227C" w:rsidRPr="003E2514">
        <w:t>sanctions</w:t>
      </w:r>
      <w:r w:rsidR="00175E0F" w:rsidRPr="003E2514">
        <w:t xml:space="preserve"> alone </w:t>
      </w:r>
      <w:r w:rsidR="0089227C" w:rsidRPr="003E2514">
        <w:t>cannot be considered an adequate res</w:t>
      </w:r>
      <w:r w:rsidR="00AC4727" w:rsidRPr="003E2514">
        <w:t>ponse by the authorities</w:t>
      </w:r>
      <w:r w:rsidR="002C4E55" w:rsidRPr="003E2514">
        <w:t xml:space="preserve"> </w:t>
      </w:r>
      <w:r w:rsidR="00AC4727" w:rsidRPr="003E2514">
        <w:t xml:space="preserve">in cases involving </w:t>
      </w:r>
      <w:r w:rsidR="00D11F7E" w:rsidRPr="003E2514">
        <w:t xml:space="preserve">acts in breach of one of the core rights of the Convention </w:t>
      </w:r>
      <w:r w:rsidR="00404E58" w:rsidRPr="003E2514">
        <w:t xml:space="preserve">as </w:t>
      </w:r>
      <w:r w:rsidR="00730DCB" w:rsidRPr="003E2514">
        <w:t xml:space="preserve">serious as </w:t>
      </w:r>
      <w:r w:rsidR="00404E58" w:rsidRPr="003E2514">
        <w:t>the present one</w:t>
      </w:r>
      <w:r w:rsidR="00730DCB" w:rsidRPr="003E2514">
        <w:t>s</w:t>
      </w:r>
      <w:r w:rsidRPr="003E2514">
        <w:t>. In this respect, it</w:t>
      </w:r>
      <w:r w:rsidR="00404E58" w:rsidRPr="003E2514">
        <w:t xml:space="preserve"> </w:t>
      </w:r>
      <w:r w:rsidR="00474D90" w:rsidRPr="003E2514">
        <w:t xml:space="preserve">reiterates that </w:t>
      </w:r>
      <w:r w:rsidR="00B107DC" w:rsidRPr="003E2514">
        <w:t xml:space="preserve">only </w:t>
      </w:r>
      <w:r w:rsidR="0087541E" w:rsidRPr="003E2514">
        <w:t xml:space="preserve">a </w:t>
      </w:r>
      <w:r w:rsidR="00C2078F" w:rsidRPr="003E2514">
        <w:t>criminal prosecution</w:t>
      </w:r>
      <w:r w:rsidR="0087541E" w:rsidRPr="003E2514">
        <w:t xml:space="preserve"> is </w:t>
      </w:r>
      <w:r w:rsidR="00860D6F" w:rsidRPr="003E2514">
        <w:t>capable of providing the</w:t>
      </w:r>
      <w:r w:rsidR="00220EAF" w:rsidRPr="003E2514">
        <w:t xml:space="preserve"> </w:t>
      </w:r>
      <w:r w:rsidR="00860D6F" w:rsidRPr="003E2514">
        <w:lastRenderedPageBreak/>
        <w:t>preventive</w:t>
      </w:r>
      <w:r w:rsidR="00973ABE" w:rsidRPr="003E2514">
        <w:t xml:space="preserve"> effect</w:t>
      </w:r>
      <w:r w:rsidR="00860D6F" w:rsidRPr="003E2514">
        <w:t xml:space="preserve"> and dissuasive </w:t>
      </w:r>
      <w:r w:rsidR="00973ABE" w:rsidRPr="003E2514">
        <w:t xml:space="preserve">force </w:t>
      </w:r>
      <w:r w:rsidR="00860D6F" w:rsidRPr="003E2514">
        <w:t xml:space="preserve">required </w:t>
      </w:r>
      <w:r w:rsidR="00310B7E" w:rsidRPr="003E2514">
        <w:t>to fulfil the requirements of Article 3</w:t>
      </w:r>
      <w:r w:rsidR="00973ABE" w:rsidRPr="003E2514">
        <w:t>.</w:t>
      </w:r>
    </w:p>
    <w:p w:rsidR="00986D96" w:rsidRPr="003E2514" w:rsidRDefault="00525676"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115</w:t>
      </w:r>
      <w:r w:rsidRPr="003E2514">
        <w:fldChar w:fldCharType="end"/>
      </w:r>
      <w:r w:rsidRPr="003E2514">
        <w:t>.  </w:t>
      </w:r>
      <w:r w:rsidR="00561AC4" w:rsidRPr="003E2514">
        <w:t xml:space="preserve">Moreover, </w:t>
      </w:r>
      <w:r w:rsidR="000E26C9" w:rsidRPr="003E2514">
        <w:t xml:space="preserve">it is apparent from the material in the case file that the officers </w:t>
      </w:r>
      <w:proofErr w:type="gramStart"/>
      <w:r w:rsidR="000E26C9" w:rsidRPr="003E2514">
        <w:t>were not suspended</w:t>
      </w:r>
      <w:proofErr w:type="gramEnd"/>
      <w:r w:rsidR="000E26C9" w:rsidRPr="003E2514">
        <w:t xml:space="preserve"> from duty during the investigation or trial (see paragraph </w:t>
      </w:r>
      <w:r w:rsidR="000E26C9" w:rsidRPr="003E2514">
        <w:fldChar w:fldCharType="begin"/>
      </w:r>
      <w:r w:rsidR="000E26C9" w:rsidRPr="003E2514">
        <w:instrText xml:space="preserve"> REF Sospensione_precauzionale \h  \* MERGEFORMAT </w:instrText>
      </w:r>
      <w:r w:rsidR="000E26C9" w:rsidRPr="003E2514">
        <w:fldChar w:fldCharType="separate"/>
      </w:r>
      <w:r w:rsidR="003E2514" w:rsidRPr="003E2514">
        <w:rPr>
          <w:noProof/>
        </w:rPr>
        <w:t>45</w:t>
      </w:r>
      <w:r w:rsidR="000E26C9" w:rsidRPr="003E2514">
        <w:fldChar w:fldCharType="end"/>
      </w:r>
      <w:r w:rsidR="000E26C9" w:rsidRPr="003E2514">
        <w:t xml:space="preserve"> above). T</w:t>
      </w:r>
      <w:r w:rsidR="001955F9" w:rsidRPr="003E2514">
        <w:t xml:space="preserve">he </w:t>
      </w:r>
      <w:r w:rsidR="008618C5" w:rsidRPr="003E2514">
        <w:t>Court</w:t>
      </w:r>
      <w:r w:rsidR="00C86902" w:rsidRPr="003E2514">
        <w:t xml:space="preserve"> </w:t>
      </w:r>
      <w:r w:rsidR="00EF1523" w:rsidRPr="003E2514">
        <w:t>has frequently held that</w:t>
      </w:r>
      <w:r w:rsidR="00C3338F" w:rsidRPr="003E2514">
        <w:t>,</w:t>
      </w:r>
      <w:r w:rsidR="00C86902" w:rsidRPr="003E2514">
        <w:t xml:space="preserve"> </w:t>
      </w:r>
      <w:r w:rsidR="00D54794" w:rsidRPr="003E2514">
        <w:t xml:space="preserve">in cases </w:t>
      </w:r>
      <w:r w:rsidR="00C3338F" w:rsidRPr="003E2514">
        <w:t xml:space="preserve">where </w:t>
      </w:r>
      <w:r w:rsidR="00700C8C" w:rsidRPr="003E2514">
        <w:t>S</w:t>
      </w:r>
      <w:r w:rsidR="00C3338F" w:rsidRPr="003E2514">
        <w:t>tate agents have been charged with offences involving ill</w:t>
      </w:r>
      <w:r w:rsidR="00C3338F" w:rsidRPr="003E2514">
        <w:noBreakHyphen/>
        <w:t xml:space="preserve">treatment, </w:t>
      </w:r>
      <w:r w:rsidR="00BB4679" w:rsidRPr="003E2514">
        <w:t xml:space="preserve">they should </w:t>
      </w:r>
      <w:r w:rsidR="00C3338F" w:rsidRPr="003E2514">
        <w:t>be suspended from duty while being investigated or tried (</w:t>
      </w:r>
      <w:r w:rsidR="00FC4496" w:rsidRPr="003E2514">
        <w:t xml:space="preserve">see </w:t>
      </w:r>
      <w:proofErr w:type="spellStart"/>
      <w:r w:rsidR="00412549" w:rsidRPr="003E2514">
        <w:rPr>
          <w:i/>
        </w:rPr>
        <w:t>Cestaro</w:t>
      </w:r>
      <w:proofErr w:type="spellEnd"/>
      <w:r w:rsidR="00412549" w:rsidRPr="003E2514">
        <w:t xml:space="preserve">, cited above, § </w:t>
      </w:r>
      <w:r w:rsidR="008F43C4" w:rsidRPr="003E2514">
        <w:t>210</w:t>
      </w:r>
      <w:r w:rsidR="00C3338F" w:rsidRPr="003E2514">
        <w:t>).</w:t>
      </w:r>
      <w:r w:rsidR="00687D7C" w:rsidRPr="003E2514">
        <w:t> </w:t>
      </w:r>
      <w:r w:rsidR="00C3338F" w:rsidRPr="003E2514">
        <w:t>The</w:t>
      </w:r>
      <w:r w:rsidR="002951CF" w:rsidRPr="003E2514">
        <w:t xml:space="preserve"> Court </w:t>
      </w:r>
      <w:r w:rsidR="00575A4B" w:rsidRPr="003E2514">
        <w:t xml:space="preserve">stresses the </w:t>
      </w:r>
      <w:r w:rsidR="00912AB9" w:rsidRPr="003E2514">
        <w:t>particular significance</w:t>
      </w:r>
      <w:r w:rsidR="0076429A" w:rsidRPr="003E2514">
        <w:t xml:space="preserve"> of</w:t>
      </w:r>
      <w:r w:rsidR="00344E3C" w:rsidRPr="003E2514">
        <w:t xml:space="preserve"> such measures in </w:t>
      </w:r>
      <w:r w:rsidR="00842029" w:rsidRPr="003E2514">
        <w:t>a correctional</w:t>
      </w:r>
      <w:r w:rsidR="00D54794" w:rsidRPr="003E2514">
        <w:t xml:space="preserve"> context</w:t>
      </w:r>
      <w:r w:rsidR="00D014FF" w:rsidRPr="003E2514">
        <w:t>.</w:t>
      </w:r>
      <w:r w:rsidR="00EE2803" w:rsidRPr="003E2514">
        <w:t xml:space="preserve"> </w:t>
      </w:r>
      <w:r w:rsidR="006064E5" w:rsidRPr="003E2514">
        <w:t xml:space="preserve">In this </w:t>
      </w:r>
      <w:r w:rsidR="0015039E" w:rsidRPr="003E2514">
        <w:t>connection</w:t>
      </w:r>
      <w:r w:rsidR="00F835E8" w:rsidRPr="003E2514">
        <w:t>,</w:t>
      </w:r>
      <w:r w:rsidR="006064E5" w:rsidRPr="003E2514">
        <w:t xml:space="preserve"> </w:t>
      </w:r>
      <w:r w:rsidR="000E26C9" w:rsidRPr="003E2514">
        <w:t>it</w:t>
      </w:r>
      <w:r w:rsidR="001627D5" w:rsidRPr="003E2514">
        <w:t xml:space="preserve"> emphasises </w:t>
      </w:r>
      <w:r w:rsidR="006064E5" w:rsidRPr="003E2514">
        <w:t>the importance of</w:t>
      </w:r>
      <w:r w:rsidR="00A95DB3" w:rsidRPr="003E2514">
        <w:t xml:space="preserve"> safeguards</w:t>
      </w:r>
      <w:r w:rsidR="006064E5" w:rsidRPr="003E2514">
        <w:t xml:space="preserve"> </w:t>
      </w:r>
      <w:r w:rsidR="001627D5" w:rsidRPr="003E2514">
        <w:t>ensur</w:t>
      </w:r>
      <w:r w:rsidR="006064E5" w:rsidRPr="003E2514">
        <w:t>ing</w:t>
      </w:r>
      <w:r w:rsidR="001627D5" w:rsidRPr="003E2514">
        <w:t xml:space="preserve"> that persons who may have been the victims of ill-treatment by </w:t>
      </w:r>
      <w:r w:rsidR="001C120B" w:rsidRPr="003E2514">
        <w:t>S</w:t>
      </w:r>
      <w:r w:rsidR="001627D5" w:rsidRPr="003E2514">
        <w:t>tate officials</w:t>
      </w:r>
      <w:r w:rsidR="00A95DB3" w:rsidRPr="003E2514">
        <w:t xml:space="preserve"> in custody</w:t>
      </w:r>
      <w:r w:rsidR="001C120B" w:rsidRPr="003E2514">
        <w:t xml:space="preserve"> </w:t>
      </w:r>
      <w:r w:rsidR="001C120B" w:rsidRPr="003E2514">
        <w:rPr>
          <w:rFonts w:cstheme="minorHAnsi"/>
        </w:rPr>
        <w:t>‒</w:t>
      </w:r>
      <w:r w:rsidR="005D1DE8" w:rsidRPr="003E2514">
        <w:t xml:space="preserve"> who are already in a state of particular vulnerability</w:t>
      </w:r>
      <w:r w:rsidR="002C478E" w:rsidRPr="003E2514">
        <w:t xml:space="preserve"> </w:t>
      </w:r>
      <w:r w:rsidR="001C120B" w:rsidRPr="003E2514">
        <w:rPr>
          <w:rFonts w:cstheme="minorHAnsi"/>
        </w:rPr>
        <w:t>‒</w:t>
      </w:r>
      <w:r w:rsidR="001627D5" w:rsidRPr="003E2514">
        <w:t xml:space="preserve"> are not discouraged, whether directly or indirectly, from lodging complaint</w:t>
      </w:r>
      <w:r w:rsidR="005D1DE8" w:rsidRPr="003E2514">
        <w:t>s</w:t>
      </w:r>
      <w:r w:rsidR="00243FA3" w:rsidRPr="003E2514">
        <w:t xml:space="preserve"> or</w:t>
      </w:r>
      <w:r w:rsidR="00D014FF" w:rsidRPr="003E2514">
        <w:t xml:space="preserve"> </w:t>
      </w:r>
      <w:r w:rsidR="006064E5" w:rsidRPr="003E2514">
        <w:t>reporting ill-treatment</w:t>
      </w:r>
      <w:r w:rsidR="004A63D5" w:rsidRPr="003E2514">
        <w:t>.</w:t>
      </w:r>
    </w:p>
    <w:bookmarkStart w:id="37" w:name="Procedural_reasoning_end"/>
    <w:p w:rsidR="00CF78FF" w:rsidRPr="003E2514" w:rsidRDefault="007B1DC1"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116</w:t>
      </w:r>
      <w:r w:rsidRPr="003E2514">
        <w:fldChar w:fldCharType="end"/>
      </w:r>
      <w:bookmarkEnd w:id="37"/>
      <w:r w:rsidRPr="003E2514">
        <w:t>.  </w:t>
      </w:r>
      <w:r w:rsidR="00521314" w:rsidRPr="003E2514">
        <w:t>Having regard to the foregoing findings</w:t>
      </w:r>
      <w:r w:rsidR="006B0A60" w:rsidRPr="003E2514">
        <w:t>,</w:t>
      </w:r>
      <w:r w:rsidR="00363C96" w:rsidRPr="003E2514">
        <w:t xml:space="preserve"> </w:t>
      </w:r>
      <w:r w:rsidRPr="003E2514">
        <w:t>t</w:t>
      </w:r>
      <w:r w:rsidR="00FD5E0E" w:rsidRPr="003E2514">
        <w:t xml:space="preserve">he Court </w:t>
      </w:r>
      <w:r w:rsidR="00EB60EF" w:rsidRPr="003E2514">
        <w:t>concludes</w:t>
      </w:r>
      <w:r w:rsidR="00FD5E0E" w:rsidRPr="003E2514">
        <w:t xml:space="preserve"> that there has been a violation of </w:t>
      </w:r>
      <w:r w:rsidR="00274C7B" w:rsidRPr="003E2514">
        <w:t>Article 3</w:t>
      </w:r>
      <w:r w:rsidR="00FD5E0E" w:rsidRPr="003E2514">
        <w:t xml:space="preserve"> in its procedural limb</w:t>
      </w:r>
      <w:r w:rsidR="00192218" w:rsidRPr="003E2514">
        <w:t>.</w:t>
      </w:r>
    </w:p>
    <w:p w:rsidR="00014566" w:rsidRPr="003E2514" w:rsidRDefault="00D965B4" w:rsidP="003E2514">
      <w:pPr>
        <w:pStyle w:val="ECHRHeading1"/>
      </w:pPr>
      <w:r w:rsidRPr="003E2514">
        <w:t>V</w:t>
      </w:r>
      <w:r w:rsidR="00014566" w:rsidRPr="003E2514">
        <w:t>.</w:t>
      </w:r>
      <w:r w:rsidR="003058EB" w:rsidRPr="003E2514">
        <w:t> </w:t>
      </w:r>
      <w:r w:rsidR="00647933" w:rsidRPr="003E2514">
        <w:t> </w:t>
      </w:r>
      <w:r w:rsidR="003058EB" w:rsidRPr="003E2514">
        <w:t>APPLICATION</w:t>
      </w:r>
      <w:r w:rsidR="00014566" w:rsidRPr="003E2514">
        <w:t xml:space="preserve"> OF ARTICLE 41 OF THE CONVENTION</w:t>
      </w:r>
    </w:p>
    <w:p w:rsidR="00014566" w:rsidRPr="003E2514" w:rsidRDefault="006C0A2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117</w:t>
      </w:r>
      <w:r w:rsidRPr="003E2514">
        <w:fldChar w:fldCharType="end"/>
      </w:r>
      <w:r w:rsidR="00014566" w:rsidRPr="003E2514">
        <w:t>.  Article 41 of the Convention provides:</w:t>
      </w:r>
    </w:p>
    <w:p w:rsidR="00014566" w:rsidRPr="003E2514" w:rsidRDefault="00014566" w:rsidP="003E2514">
      <w:pPr>
        <w:pStyle w:val="ECHRParaQuote"/>
        <w:keepNext/>
        <w:keepLines/>
      </w:pPr>
      <w:r w:rsidRPr="003E2514">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014566" w:rsidRPr="003E2514" w:rsidRDefault="00014566" w:rsidP="003E2514">
      <w:pPr>
        <w:pStyle w:val="ECHRHeading2"/>
      </w:pPr>
      <w:r w:rsidRPr="003E2514">
        <w:t>A.  Damage</w:t>
      </w:r>
    </w:p>
    <w:p w:rsidR="00014566" w:rsidRPr="003E2514" w:rsidRDefault="006C0A2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118</w:t>
      </w:r>
      <w:r w:rsidRPr="003E2514">
        <w:fldChar w:fldCharType="end"/>
      </w:r>
      <w:r w:rsidR="00014566" w:rsidRPr="003E2514">
        <w:t>.  </w:t>
      </w:r>
      <w:r w:rsidR="00A720CF" w:rsidRPr="003E2514">
        <w:t xml:space="preserve">In respect of non-pecuniary damage </w:t>
      </w:r>
      <w:r w:rsidR="005513BC" w:rsidRPr="003E2514">
        <w:t>each</w:t>
      </w:r>
      <w:r w:rsidR="00014566" w:rsidRPr="003E2514">
        <w:t xml:space="preserve"> applicant claimed </w:t>
      </w:r>
      <w:r w:rsidR="00A720CF" w:rsidRPr="003E2514">
        <w:t xml:space="preserve">100,000 </w:t>
      </w:r>
      <w:r w:rsidR="00014566" w:rsidRPr="003E2514">
        <w:t>euros (EUR)</w:t>
      </w:r>
      <w:r w:rsidR="00A720CF" w:rsidRPr="003E2514">
        <w:t xml:space="preserve"> or any other amount the Court should find appropriate</w:t>
      </w:r>
      <w:r w:rsidR="00014566" w:rsidRPr="003E2514">
        <w:t>.</w:t>
      </w:r>
    </w:p>
    <w:p w:rsidR="00986D96" w:rsidRPr="003E2514" w:rsidRDefault="006C0A2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119</w:t>
      </w:r>
      <w:r w:rsidRPr="003E2514">
        <w:fldChar w:fldCharType="end"/>
      </w:r>
      <w:r w:rsidR="00014566" w:rsidRPr="003E2514">
        <w:t xml:space="preserve">.  The Government </w:t>
      </w:r>
      <w:r w:rsidR="00A720CF" w:rsidRPr="003E2514">
        <w:t>contested that amount.</w:t>
      </w:r>
    </w:p>
    <w:p w:rsidR="00014566" w:rsidRPr="003E2514" w:rsidRDefault="006C0A2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120</w:t>
      </w:r>
      <w:r w:rsidRPr="003E2514">
        <w:fldChar w:fldCharType="end"/>
      </w:r>
      <w:r w:rsidR="00014566" w:rsidRPr="003E2514">
        <w:t>.  </w:t>
      </w:r>
      <w:r w:rsidR="00331526" w:rsidRPr="003E2514">
        <w:t xml:space="preserve">Having regard to the seriousness of the violations of the Convention of which </w:t>
      </w:r>
      <w:r w:rsidR="005B28AB" w:rsidRPr="003E2514">
        <w:t>the applicants</w:t>
      </w:r>
      <w:r w:rsidR="00331526" w:rsidRPr="003E2514">
        <w:t xml:space="preserve"> w</w:t>
      </w:r>
      <w:r w:rsidR="005B28AB" w:rsidRPr="003E2514">
        <w:t>ere</w:t>
      </w:r>
      <w:r w:rsidR="00331526" w:rsidRPr="003E2514">
        <w:t xml:space="preserve"> victim</w:t>
      </w:r>
      <w:r w:rsidR="005B28AB" w:rsidRPr="003E2514">
        <w:t>s</w:t>
      </w:r>
      <w:r w:rsidR="00331526" w:rsidRPr="003E2514">
        <w:t>,</w:t>
      </w:r>
      <w:r w:rsidR="00315F94" w:rsidRPr="003E2514">
        <w:t xml:space="preserve"> and ruling on an equitable basis,</w:t>
      </w:r>
      <w:r w:rsidR="00331526" w:rsidRPr="003E2514">
        <w:t xml:space="preserve"> </w:t>
      </w:r>
      <w:r w:rsidR="00311F4E" w:rsidRPr="003E2514">
        <w:t>t</w:t>
      </w:r>
      <w:r w:rsidR="00014566" w:rsidRPr="003E2514">
        <w:t xml:space="preserve">he Court </w:t>
      </w:r>
      <w:r w:rsidR="00315F94" w:rsidRPr="003E2514">
        <w:t>finds it appropriate to award</w:t>
      </w:r>
      <w:r w:rsidR="00014566" w:rsidRPr="003E2514">
        <w:t xml:space="preserve"> </w:t>
      </w:r>
      <w:r w:rsidR="004E2BD0" w:rsidRPr="003E2514">
        <w:t>each</w:t>
      </w:r>
      <w:r w:rsidR="00014566" w:rsidRPr="003E2514">
        <w:t xml:space="preserve"> applicant EUR </w:t>
      </w:r>
      <w:r w:rsidR="00DC4E8B" w:rsidRPr="003E2514">
        <w:t>8</w:t>
      </w:r>
      <w:r w:rsidR="004E2BD0" w:rsidRPr="003E2514">
        <w:t>0</w:t>
      </w:r>
      <w:r w:rsidR="006D17E9" w:rsidRPr="003E2514">
        <w:t>,000</w:t>
      </w:r>
      <w:r w:rsidR="00014566" w:rsidRPr="003E2514">
        <w:t xml:space="preserve"> in respect of non-pecuniary damage.</w:t>
      </w:r>
    </w:p>
    <w:p w:rsidR="00014566" w:rsidRPr="003E2514" w:rsidRDefault="00014566" w:rsidP="003E2514">
      <w:pPr>
        <w:pStyle w:val="ECHRHeading2"/>
      </w:pPr>
      <w:r w:rsidRPr="003E2514">
        <w:t>B.  Costs and expenses</w:t>
      </w:r>
    </w:p>
    <w:p w:rsidR="00014566" w:rsidRPr="003E2514" w:rsidRDefault="006C0A2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121</w:t>
      </w:r>
      <w:r w:rsidRPr="003E2514">
        <w:fldChar w:fldCharType="end"/>
      </w:r>
      <w:r w:rsidR="00014566" w:rsidRPr="003E2514">
        <w:t>.  The applicant</w:t>
      </w:r>
      <w:r w:rsidRPr="003E2514">
        <w:t>s</w:t>
      </w:r>
      <w:r w:rsidR="00014566" w:rsidRPr="003E2514">
        <w:t xml:space="preserve"> also claimed EUR </w:t>
      </w:r>
      <w:r w:rsidR="008636BE" w:rsidRPr="003E2514">
        <w:t>16,000 each</w:t>
      </w:r>
      <w:r w:rsidR="00014566" w:rsidRPr="003E2514">
        <w:t xml:space="preserve"> for the costs and expenses incurred before the Court.</w:t>
      </w:r>
    </w:p>
    <w:p w:rsidR="00014566" w:rsidRPr="003E2514" w:rsidRDefault="006C0A2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122</w:t>
      </w:r>
      <w:r w:rsidRPr="003E2514">
        <w:fldChar w:fldCharType="end"/>
      </w:r>
      <w:r w:rsidR="00014566" w:rsidRPr="003E2514">
        <w:t xml:space="preserve">.  The Government </w:t>
      </w:r>
      <w:r w:rsidR="00250168" w:rsidRPr="003E2514">
        <w:t>contested that amount.</w:t>
      </w:r>
    </w:p>
    <w:p w:rsidR="00014566" w:rsidRPr="003E2514" w:rsidRDefault="006C0A28"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123</w:t>
      </w:r>
      <w:r w:rsidRPr="003E2514">
        <w:fldChar w:fldCharType="end"/>
      </w:r>
      <w:r w:rsidR="00014566" w:rsidRPr="003E2514">
        <w:t>.  </w:t>
      </w:r>
      <w:r w:rsidRPr="003E2514">
        <w:t>According to the Court</w:t>
      </w:r>
      <w:r w:rsidR="003E2514" w:rsidRPr="003E2514">
        <w:t>’</w:t>
      </w:r>
      <w:r w:rsidRPr="003E2514">
        <w:t>s case-law, an applicant is entitled to the reimbursement of costs and expenses only in so far as it has been shown that these have been actually and necessarily incurred and are reasonable as to quantum. In the present case, regard</w:t>
      </w:r>
      <w:r w:rsidR="00014566" w:rsidRPr="003E2514">
        <w:t xml:space="preserve"> being had to the documents in its </w:t>
      </w:r>
      <w:r w:rsidR="00014566" w:rsidRPr="003E2514">
        <w:lastRenderedPageBreak/>
        <w:t>possession, the Court considers it reasonable to award the sum of EUR</w:t>
      </w:r>
      <w:r w:rsidR="0047368B" w:rsidRPr="003E2514">
        <w:t> </w:t>
      </w:r>
      <w:r w:rsidR="00107580" w:rsidRPr="003E2514">
        <w:t>8</w:t>
      </w:r>
      <w:r w:rsidR="0047368B" w:rsidRPr="003E2514">
        <w:t>,000</w:t>
      </w:r>
      <w:r w:rsidR="00D41F0B" w:rsidRPr="003E2514">
        <w:t xml:space="preserve"> each</w:t>
      </w:r>
      <w:r w:rsidR="007C32F1" w:rsidRPr="003E2514">
        <w:t>.</w:t>
      </w:r>
    </w:p>
    <w:p w:rsidR="00014566" w:rsidRPr="003E2514" w:rsidRDefault="00014566" w:rsidP="003E2514">
      <w:pPr>
        <w:pStyle w:val="ECHRHeading2"/>
      </w:pPr>
      <w:r w:rsidRPr="003E2514">
        <w:t>C.  Default interest</w:t>
      </w:r>
    </w:p>
    <w:p w:rsidR="00014566" w:rsidRPr="003E2514" w:rsidRDefault="00886485" w:rsidP="003E2514">
      <w:pPr>
        <w:pStyle w:val="ECHRPara"/>
      </w:pPr>
      <w:r w:rsidRPr="003E2514">
        <w:fldChar w:fldCharType="begin"/>
      </w:r>
      <w:r w:rsidRPr="003E2514">
        <w:instrText xml:space="preserve"> SEQ level0 \*arabic </w:instrText>
      </w:r>
      <w:r w:rsidRPr="003E2514">
        <w:fldChar w:fldCharType="separate"/>
      </w:r>
      <w:r w:rsidR="003E2514" w:rsidRPr="003E2514">
        <w:rPr>
          <w:noProof/>
        </w:rPr>
        <w:t>124</w:t>
      </w:r>
      <w:r w:rsidRPr="003E2514">
        <w:fldChar w:fldCharType="end"/>
      </w:r>
      <w:r w:rsidRPr="003E2514">
        <w:t>.  </w:t>
      </w:r>
      <w:r w:rsidR="00014566" w:rsidRPr="003E2514">
        <w:t>The Court considers it appropriate that the default interest rate should be based on the marginal lending rate of the European Central Bank, to which should be added three percentage points.</w:t>
      </w:r>
    </w:p>
    <w:p w:rsidR="00014566" w:rsidRPr="003E2514" w:rsidRDefault="00BB5883" w:rsidP="003E2514">
      <w:pPr>
        <w:pStyle w:val="ECHRTitle1"/>
      </w:pPr>
      <w:r w:rsidRPr="003E2514">
        <w:t>FOR THESE REASONS, THE COURT</w:t>
      </w:r>
      <w:r w:rsidR="006C0A28" w:rsidRPr="003E2514">
        <w:t>, UNANIMOUSLY,</w:t>
      </w:r>
    </w:p>
    <w:p w:rsidR="0040020F" w:rsidRPr="003E2514" w:rsidRDefault="00B637B9" w:rsidP="003E2514">
      <w:pPr>
        <w:pStyle w:val="JuList"/>
      </w:pPr>
      <w:r w:rsidRPr="003E2514">
        <w:t>1.</w:t>
      </w:r>
      <w:r w:rsidR="00CF78FF" w:rsidRPr="003E2514">
        <w:t>  </w:t>
      </w:r>
      <w:r w:rsidR="00D90963" w:rsidRPr="003E2514">
        <w:rPr>
          <w:i/>
        </w:rPr>
        <w:t>Decides</w:t>
      </w:r>
      <w:r w:rsidR="00D90963" w:rsidRPr="003E2514">
        <w:t xml:space="preserve"> to join the applications;</w:t>
      </w:r>
    </w:p>
    <w:p w:rsidR="004F5913" w:rsidRPr="003E2514" w:rsidRDefault="004F5913" w:rsidP="003E2514">
      <w:pPr>
        <w:pStyle w:val="JuList"/>
      </w:pPr>
    </w:p>
    <w:p w:rsidR="00B637B9" w:rsidRPr="003E2514" w:rsidRDefault="004F5913" w:rsidP="003E2514">
      <w:pPr>
        <w:pStyle w:val="JuList"/>
      </w:pPr>
      <w:r w:rsidRPr="003E2514">
        <w:t>2</w:t>
      </w:r>
      <w:r w:rsidR="00CF78FF" w:rsidRPr="003E2514">
        <w:t>.  </w:t>
      </w:r>
      <w:r w:rsidR="00B637B9" w:rsidRPr="003E2514">
        <w:rPr>
          <w:i/>
        </w:rPr>
        <w:t>Declares</w:t>
      </w:r>
      <w:r w:rsidR="00B637B9" w:rsidRPr="003E2514">
        <w:rPr>
          <w:color w:val="000000"/>
        </w:rPr>
        <w:t xml:space="preserve"> </w:t>
      </w:r>
      <w:r w:rsidR="00B637B9" w:rsidRPr="003E2514">
        <w:t xml:space="preserve">the </w:t>
      </w:r>
      <w:r w:rsidR="006C0A28" w:rsidRPr="003E2514">
        <w:t>applications</w:t>
      </w:r>
      <w:r w:rsidR="00B637B9" w:rsidRPr="003E2514">
        <w:t xml:space="preserve"> admissible;</w:t>
      </w:r>
    </w:p>
    <w:p w:rsidR="004D5439" w:rsidRPr="003E2514" w:rsidRDefault="004D5439" w:rsidP="003E2514">
      <w:pPr>
        <w:pStyle w:val="JuList"/>
      </w:pPr>
    </w:p>
    <w:p w:rsidR="00AE638B" w:rsidRPr="003E2514" w:rsidRDefault="004F5913" w:rsidP="003E2514">
      <w:pPr>
        <w:pStyle w:val="JuList"/>
      </w:pPr>
      <w:r w:rsidRPr="003E2514">
        <w:t>3</w:t>
      </w:r>
      <w:r w:rsidR="00014566" w:rsidRPr="003E2514">
        <w:t>.  </w:t>
      </w:r>
      <w:r w:rsidR="00014566" w:rsidRPr="003E2514">
        <w:rPr>
          <w:i/>
        </w:rPr>
        <w:t>Holds</w:t>
      </w:r>
      <w:r w:rsidR="00014566" w:rsidRPr="003E2514">
        <w:rPr>
          <w:color w:val="000000"/>
        </w:rPr>
        <w:t xml:space="preserve"> </w:t>
      </w:r>
      <w:r w:rsidR="00014566" w:rsidRPr="003E2514">
        <w:t xml:space="preserve">that there has been a violation of </w:t>
      </w:r>
      <w:r w:rsidR="00856C3A" w:rsidRPr="003E2514">
        <w:t>Article 3 of the Convention in its substantive aspect</w:t>
      </w:r>
      <w:r w:rsidR="00A126D0" w:rsidRPr="003E2514">
        <w:t xml:space="preserve"> in that the applicant</w:t>
      </w:r>
      <w:r w:rsidR="000B213B" w:rsidRPr="003E2514">
        <w:t>s have</w:t>
      </w:r>
      <w:r w:rsidR="00A126D0" w:rsidRPr="003E2514">
        <w:t xml:space="preserve"> been subjected to torture</w:t>
      </w:r>
      <w:r w:rsidR="00014566" w:rsidRPr="003E2514">
        <w:t>;</w:t>
      </w:r>
    </w:p>
    <w:p w:rsidR="0092253A" w:rsidRPr="003E2514" w:rsidRDefault="0092253A" w:rsidP="003E2514">
      <w:pPr>
        <w:pStyle w:val="JuList"/>
      </w:pPr>
    </w:p>
    <w:p w:rsidR="00014566" w:rsidRPr="003E2514" w:rsidRDefault="004F5913" w:rsidP="003E2514">
      <w:pPr>
        <w:pStyle w:val="JuList"/>
      </w:pPr>
      <w:r w:rsidRPr="003E2514">
        <w:t>4</w:t>
      </w:r>
      <w:r w:rsidR="00014566" w:rsidRPr="003E2514">
        <w:t>.  </w:t>
      </w:r>
      <w:r w:rsidR="00014566" w:rsidRPr="003E2514">
        <w:rPr>
          <w:i/>
        </w:rPr>
        <w:t>Holds</w:t>
      </w:r>
      <w:r w:rsidR="00014566" w:rsidRPr="003E2514">
        <w:rPr>
          <w:color w:val="000000"/>
        </w:rPr>
        <w:t xml:space="preserve"> </w:t>
      </w:r>
      <w:r w:rsidR="00014566" w:rsidRPr="003E2514">
        <w:t xml:space="preserve">that there has been a violation of Article </w:t>
      </w:r>
      <w:r w:rsidR="0092253A" w:rsidRPr="003E2514">
        <w:t>3</w:t>
      </w:r>
      <w:r w:rsidR="00014566" w:rsidRPr="003E2514">
        <w:t xml:space="preserve"> of the Convention</w:t>
      </w:r>
      <w:r w:rsidR="0092253A" w:rsidRPr="003E2514">
        <w:t xml:space="preserve"> in its procedural aspect</w:t>
      </w:r>
      <w:r w:rsidR="00014566" w:rsidRPr="003E2514">
        <w:t>;</w:t>
      </w:r>
    </w:p>
    <w:p w:rsidR="00014566" w:rsidRPr="003E2514" w:rsidRDefault="00014566" w:rsidP="003E2514">
      <w:pPr>
        <w:pStyle w:val="JuList"/>
      </w:pPr>
    </w:p>
    <w:p w:rsidR="00014566" w:rsidRPr="003E2514" w:rsidRDefault="004F5913" w:rsidP="003E2514">
      <w:pPr>
        <w:pStyle w:val="JuList"/>
      </w:pPr>
      <w:r w:rsidRPr="003E2514">
        <w:t>5</w:t>
      </w:r>
      <w:r w:rsidR="00014566" w:rsidRPr="003E2514">
        <w:t>.  </w:t>
      </w:r>
      <w:r w:rsidR="00014566" w:rsidRPr="003E2514">
        <w:rPr>
          <w:i/>
        </w:rPr>
        <w:t>Holds</w:t>
      </w:r>
    </w:p>
    <w:p w:rsidR="00014566" w:rsidRPr="003E2514" w:rsidRDefault="00014566" w:rsidP="003E2514">
      <w:pPr>
        <w:pStyle w:val="JuLista"/>
      </w:pPr>
      <w:r w:rsidRPr="003E2514">
        <w:t xml:space="preserve">(a)  that the respondent State is to pay </w:t>
      </w:r>
      <w:r w:rsidR="00660494" w:rsidRPr="003E2514">
        <w:t xml:space="preserve">each of </w:t>
      </w:r>
      <w:r w:rsidRPr="003E2514">
        <w:t>the applicant</w:t>
      </w:r>
      <w:r w:rsidR="006C0A28" w:rsidRPr="003E2514">
        <w:t>s</w:t>
      </w:r>
      <w:r w:rsidRPr="003E2514">
        <w:t>, within three months</w:t>
      </w:r>
      <w:r w:rsidR="006C0A28" w:rsidRPr="003E2514">
        <w:t xml:space="preserve"> from the date on which the judgment becomes final in accordance with Article 44 § 2 of the Convention,</w:t>
      </w:r>
      <w:r w:rsidRPr="003E2514">
        <w:t xml:space="preserve"> the following amounts</w:t>
      </w:r>
      <w:r w:rsidR="004D5439" w:rsidRPr="003E2514">
        <w:t>:</w:t>
      </w:r>
    </w:p>
    <w:p w:rsidR="00014566" w:rsidRPr="003E2514" w:rsidRDefault="00014566" w:rsidP="003E2514">
      <w:pPr>
        <w:pStyle w:val="JuListi"/>
      </w:pPr>
      <w:r w:rsidRPr="003E2514">
        <w:t>(</w:t>
      </w:r>
      <w:proofErr w:type="spellStart"/>
      <w:r w:rsidRPr="003E2514">
        <w:t>i</w:t>
      </w:r>
      <w:proofErr w:type="spellEnd"/>
      <w:r w:rsidRPr="003E2514">
        <w:t>)  </w:t>
      </w:r>
      <w:r w:rsidR="00033538" w:rsidRPr="003E2514">
        <w:t xml:space="preserve">EUR </w:t>
      </w:r>
      <w:r w:rsidR="00A3709A" w:rsidRPr="003E2514">
        <w:t>80</w:t>
      </w:r>
      <w:r w:rsidR="00033538" w:rsidRPr="003E2514">
        <w:t>,000 (</w:t>
      </w:r>
      <w:r w:rsidR="00A3709A" w:rsidRPr="003E2514">
        <w:t>eighty</w:t>
      </w:r>
      <w:r w:rsidR="00033538" w:rsidRPr="003E2514">
        <w:t xml:space="preserve"> thousand euros)</w:t>
      </w:r>
      <w:r w:rsidRPr="003E2514">
        <w:t>, plus any tax that may be chargeable, in respect of non-pecuniary damage;</w:t>
      </w:r>
    </w:p>
    <w:p w:rsidR="00014566" w:rsidRPr="003E2514" w:rsidRDefault="00014566" w:rsidP="003E2514">
      <w:pPr>
        <w:pStyle w:val="JuListi"/>
      </w:pPr>
      <w:r w:rsidRPr="003E2514">
        <w:t xml:space="preserve">(ii)  EUR </w:t>
      </w:r>
      <w:r w:rsidR="00107580" w:rsidRPr="003E2514">
        <w:t>8</w:t>
      </w:r>
      <w:r w:rsidR="00FC1C98" w:rsidRPr="003E2514">
        <w:t>,000 (</w:t>
      </w:r>
      <w:r w:rsidR="00107580" w:rsidRPr="003E2514">
        <w:t xml:space="preserve">eight </w:t>
      </w:r>
      <w:r w:rsidR="00FC1C98" w:rsidRPr="003E2514">
        <w:t xml:space="preserve">thousand </w:t>
      </w:r>
      <w:r w:rsidRPr="003E2514">
        <w:t>euros), plus any tax that may be chargeable to the applicant</w:t>
      </w:r>
      <w:r w:rsidR="006C0A28" w:rsidRPr="003E2514">
        <w:t>s</w:t>
      </w:r>
      <w:r w:rsidRPr="003E2514">
        <w:t>, in respect of costs and expenses;</w:t>
      </w:r>
    </w:p>
    <w:p w:rsidR="00014566" w:rsidRPr="003E2514" w:rsidRDefault="00014566" w:rsidP="003E2514">
      <w:pPr>
        <w:pStyle w:val="JuLista"/>
      </w:pPr>
      <w:r w:rsidRPr="003E2514">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EA6A1B" w:rsidRPr="003E2514" w:rsidRDefault="00EA6A1B" w:rsidP="003E2514">
      <w:pPr>
        <w:pStyle w:val="JuList"/>
      </w:pPr>
    </w:p>
    <w:p w:rsidR="00014566" w:rsidRPr="003E2514" w:rsidRDefault="004F5913" w:rsidP="003E2514">
      <w:pPr>
        <w:pStyle w:val="JuList"/>
        <w:keepNext/>
        <w:keepLines/>
      </w:pPr>
      <w:r w:rsidRPr="003E2514">
        <w:lastRenderedPageBreak/>
        <w:t>6</w:t>
      </w:r>
      <w:r w:rsidR="00014566" w:rsidRPr="003E2514">
        <w:t>.  </w:t>
      </w:r>
      <w:r w:rsidR="00014566" w:rsidRPr="003E2514">
        <w:rPr>
          <w:i/>
        </w:rPr>
        <w:t>Dismisses</w:t>
      </w:r>
      <w:r w:rsidR="006C0A28" w:rsidRPr="003E2514">
        <w:t xml:space="preserve"> </w:t>
      </w:r>
      <w:r w:rsidR="00014566" w:rsidRPr="003E2514">
        <w:t>the remainder of the applicant</w:t>
      </w:r>
      <w:r w:rsidR="006C0A28" w:rsidRPr="003E2514">
        <w:t>s</w:t>
      </w:r>
      <w:r w:rsidR="003E2514" w:rsidRPr="003E2514">
        <w:t>’</w:t>
      </w:r>
      <w:r w:rsidR="00014566" w:rsidRPr="003E2514">
        <w:t xml:space="preserve"> claim for just satisfaction.</w:t>
      </w:r>
    </w:p>
    <w:p w:rsidR="00014566" w:rsidRPr="003E2514" w:rsidRDefault="00014566" w:rsidP="003E2514">
      <w:pPr>
        <w:pStyle w:val="JuParaLast"/>
      </w:pPr>
      <w:r w:rsidRPr="003E2514">
        <w:t xml:space="preserve">Done in English, and notified in writing on </w:t>
      </w:r>
      <w:r w:rsidR="0068561C" w:rsidRPr="003E2514">
        <w:t>26 October 2017</w:t>
      </w:r>
      <w:r w:rsidRPr="003E2514">
        <w:t>, pursuant to Rule 77 §§ 2 and 3 of the Rules of Court.</w:t>
      </w:r>
    </w:p>
    <w:p w:rsidR="0055391B" w:rsidRPr="003E2514" w:rsidRDefault="00014566" w:rsidP="003E2514">
      <w:pPr>
        <w:pStyle w:val="JuSigned"/>
        <w:tabs>
          <w:tab w:val="clear" w:pos="6407"/>
          <w:tab w:val="center" w:pos="6096"/>
        </w:tabs>
        <w:rPr>
          <w:lang w:val="es-AR"/>
        </w:rPr>
      </w:pPr>
      <w:r w:rsidRPr="003E2514">
        <w:tab/>
      </w:r>
      <w:r w:rsidR="006C0A28" w:rsidRPr="003E2514">
        <w:rPr>
          <w:lang w:val="es-AR"/>
        </w:rPr>
        <w:t>Abel Campos</w:t>
      </w:r>
      <w:r w:rsidRPr="003E2514">
        <w:rPr>
          <w:lang w:val="es-AR"/>
        </w:rPr>
        <w:tab/>
      </w:r>
      <w:r w:rsidR="00466569" w:rsidRPr="003E2514">
        <w:rPr>
          <w:szCs w:val="24"/>
          <w:lang w:val="es-AR"/>
        </w:rPr>
        <w:t>Linos-Alexandre Sicilianos</w:t>
      </w:r>
      <w:r w:rsidR="003E2514" w:rsidRPr="003E2514">
        <w:rPr>
          <w:szCs w:val="24"/>
          <w:lang w:val="es-AR"/>
        </w:rPr>
        <w:br/>
      </w:r>
      <w:r w:rsidRPr="003E2514">
        <w:rPr>
          <w:lang w:val="es-AR"/>
        </w:rPr>
        <w:tab/>
      </w:r>
      <w:r w:rsidR="006C0A28" w:rsidRPr="003E2514">
        <w:rPr>
          <w:iCs/>
          <w:lang w:val="es-AR"/>
        </w:rPr>
        <w:t>Registrar</w:t>
      </w:r>
      <w:r w:rsidRPr="003E2514">
        <w:rPr>
          <w:lang w:val="es-AR"/>
        </w:rPr>
        <w:tab/>
        <w:t>President</w:t>
      </w:r>
    </w:p>
    <w:sectPr w:rsidR="0055391B" w:rsidRPr="003E2514" w:rsidSect="00AE638B">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62C" w:rsidRPr="003A441D" w:rsidRDefault="0073462C" w:rsidP="00014566">
      <w:pPr>
        <w:rPr>
          <w:lang w:val="en-GB"/>
        </w:rPr>
      </w:pPr>
      <w:r w:rsidRPr="003A441D">
        <w:rPr>
          <w:lang w:val="en-GB"/>
        </w:rPr>
        <w:separator/>
      </w:r>
    </w:p>
  </w:endnote>
  <w:endnote w:type="continuationSeparator" w:id="0">
    <w:p w:rsidR="0073462C" w:rsidRPr="003A441D" w:rsidRDefault="0073462C" w:rsidP="00014566">
      <w:pPr>
        <w:rPr>
          <w:lang w:val="en-GB"/>
        </w:rPr>
      </w:pPr>
      <w:r w:rsidRPr="003A441D">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8B" w:rsidRPr="00150BFA" w:rsidRDefault="00AE638B" w:rsidP="00AE638B">
    <w:pPr>
      <w:jc w:val="center"/>
    </w:pPr>
    <w:r>
      <w:rPr>
        <w:noProof/>
        <w:lang w:val="it-IT" w:eastAsia="it-IT"/>
      </w:rPr>
      <w:drawing>
        <wp:inline distT="0" distB="0" distL="0" distR="0" wp14:anchorId="5571433B" wp14:editId="752D174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E638B" w:rsidRDefault="00AE638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62C" w:rsidRPr="003A441D" w:rsidRDefault="0073462C" w:rsidP="00014566">
      <w:pPr>
        <w:rPr>
          <w:lang w:val="en-GB"/>
        </w:rPr>
      </w:pPr>
      <w:r w:rsidRPr="003A441D">
        <w:rPr>
          <w:lang w:val="en-GB"/>
        </w:rPr>
        <w:separator/>
      </w:r>
    </w:p>
  </w:footnote>
  <w:footnote w:type="continuationSeparator" w:id="0">
    <w:p w:rsidR="0073462C" w:rsidRPr="003A441D" w:rsidRDefault="0073462C" w:rsidP="00014566">
      <w:pPr>
        <w:rPr>
          <w:lang w:val="en-GB"/>
        </w:rPr>
      </w:pPr>
      <w:r w:rsidRPr="003A441D">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8B" w:rsidRPr="00AE638B" w:rsidRDefault="00AE638B" w:rsidP="00AE638B">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8B" w:rsidRPr="00A45145" w:rsidRDefault="00AE638B" w:rsidP="00AE638B">
    <w:pPr>
      <w:jc w:val="center"/>
    </w:pPr>
    <w:r>
      <w:rPr>
        <w:noProof/>
        <w:lang w:val="it-IT" w:eastAsia="it-IT"/>
      </w:rPr>
      <w:drawing>
        <wp:inline distT="0" distB="0" distL="0" distR="0" wp14:anchorId="5D793FF8" wp14:editId="0F98012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E638B" w:rsidRDefault="00AE638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8B" w:rsidRPr="003A441D" w:rsidRDefault="00AE638B" w:rsidP="00EE1DA9">
    <w:pPr>
      <w:pStyle w:val="ECHRHeader"/>
    </w:pPr>
    <w:r>
      <w:rPr>
        <w:rStyle w:val="Numeropagina"/>
        <w:szCs w:val="18"/>
      </w:rPr>
      <w:fldChar w:fldCharType="begin"/>
    </w:r>
    <w:r>
      <w:rPr>
        <w:rStyle w:val="Numeropagina"/>
        <w:szCs w:val="18"/>
      </w:rPr>
      <w:instrText xml:space="preserve"> PAGE </w:instrText>
    </w:r>
    <w:r>
      <w:rPr>
        <w:rStyle w:val="Numeropagina"/>
        <w:szCs w:val="18"/>
      </w:rPr>
      <w:fldChar w:fldCharType="separate"/>
    </w:r>
    <w:r w:rsidR="00DB2B89">
      <w:rPr>
        <w:rStyle w:val="Numeropagina"/>
        <w:noProof/>
        <w:szCs w:val="18"/>
      </w:rPr>
      <w:t>18</w:t>
    </w:r>
    <w:r>
      <w:rPr>
        <w:rStyle w:val="Numeropagina"/>
        <w:szCs w:val="18"/>
      </w:rPr>
      <w:fldChar w:fldCharType="end"/>
    </w:r>
    <w:r w:rsidRPr="003A441D">
      <w:tab/>
    </w:r>
    <w:r>
      <w:t>CIRINO AND RENNE v. ITALY</w:t>
    </w:r>
    <w:r w:rsidRPr="003A441D">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8B" w:rsidRPr="003A441D" w:rsidRDefault="00AE638B" w:rsidP="00D60D87">
    <w:pPr>
      <w:pStyle w:val="ECHRHeader"/>
    </w:pPr>
    <w:r w:rsidRPr="003A441D">
      <w:tab/>
    </w:r>
    <w:r>
      <w:t>CIRINO AND RENNE v. ITALY</w:t>
    </w:r>
    <w:r w:rsidRPr="003A441D">
      <w:t xml:space="preserve"> </w:t>
    </w:r>
    <w:r>
      <w:t>JUDGMENT</w:t>
    </w:r>
    <w:r w:rsidRPr="003A441D">
      <w:tab/>
    </w:r>
    <w:r>
      <w:rPr>
        <w:rStyle w:val="Numeropagina"/>
        <w:szCs w:val="18"/>
      </w:rPr>
      <w:fldChar w:fldCharType="begin"/>
    </w:r>
    <w:r>
      <w:rPr>
        <w:rStyle w:val="Numeropagina"/>
        <w:szCs w:val="18"/>
      </w:rPr>
      <w:instrText xml:space="preserve"> PAGE </w:instrText>
    </w:r>
    <w:r>
      <w:rPr>
        <w:rStyle w:val="Numeropagina"/>
        <w:szCs w:val="18"/>
      </w:rPr>
      <w:fldChar w:fldCharType="separate"/>
    </w:r>
    <w:r w:rsidR="00DB2B89">
      <w:rPr>
        <w:rStyle w:val="Numeropagina"/>
        <w:noProof/>
        <w:szCs w:val="18"/>
      </w:rPr>
      <w:t>19</w:t>
    </w:r>
    <w:r>
      <w:rPr>
        <w:rStyle w:val="Numeropagina"/>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90ECFBC"/>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C5B8BEF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6F1CF73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23802660"/>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Numeroelenco"/>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6D1F0F3A"/>
    <w:multiLevelType w:val="hybridMultilevel"/>
    <w:tmpl w:val="263293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737461D"/>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6C0A28"/>
    <w:rsid w:val="00000034"/>
    <w:rsid w:val="00000C49"/>
    <w:rsid w:val="000010ED"/>
    <w:rsid w:val="000028CE"/>
    <w:rsid w:val="000030E5"/>
    <w:rsid w:val="00003101"/>
    <w:rsid w:val="0000321B"/>
    <w:rsid w:val="000040E0"/>
    <w:rsid w:val="000041F8"/>
    <w:rsid w:val="000042A8"/>
    <w:rsid w:val="00004308"/>
    <w:rsid w:val="00005BB6"/>
    <w:rsid w:val="00005BF0"/>
    <w:rsid w:val="000063D4"/>
    <w:rsid w:val="00006BBB"/>
    <w:rsid w:val="00007154"/>
    <w:rsid w:val="00007564"/>
    <w:rsid w:val="0001036B"/>
    <w:rsid w:val="000103AE"/>
    <w:rsid w:val="00010A34"/>
    <w:rsid w:val="00011159"/>
    <w:rsid w:val="00011D69"/>
    <w:rsid w:val="0001291F"/>
    <w:rsid w:val="0001297D"/>
    <w:rsid w:val="00012AD3"/>
    <w:rsid w:val="000134C9"/>
    <w:rsid w:val="000136ED"/>
    <w:rsid w:val="00014566"/>
    <w:rsid w:val="00015A94"/>
    <w:rsid w:val="00015C2D"/>
    <w:rsid w:val="00015F00"/>
    <w:rsid w:val="00015F3E"/>
    <w:rsid w:val="000164B5"/>
    <w:rsid w:val="000178D4"/>
    <w:rsid w:val="00017BF7"/>
    <w:rsid w:val="00017C99"/>
    <w:rsid w:val="00017F5F"/>
    <w:rsid w:val="00020A80"/>
    <w:rsid w:val="00021D55"/>
    <w:rsid w:val="00022C1D"/>
    <w:rsid w:val="0002340F"/>
    <w:rsid w:val="00023816"/>
    <w:rsid w:val="0002486F"/>
    <w:rsid w:val="00024C32"/>
    <w:rsid w:val="000254EE"/>
    <w:rsid w:val="00025EE9"/>
    <w:rsid w:val="00027FDB"/>
    <w:rsid w:val="00030DED"/>
    <w:rsid w:val="000314C3"/>
    <w:rsid w:val="00031A8E"/>
    <w:rsid w:val="00031B4A"/>
    <w:rsid w:val="0003270C"/>
    <w:rsid w:val="000328FD"/>
    <w:rsid w:val="00032927"/>
    <w:rsid w:val="00032E14"/>
    <w:rsid w:val="00033538"/>
    <w:rsid w:val="00033558"/>
    <w:rsid w:val="000336BC"/>
    <w:rsid w:val="000336DF"/>
    <w:rsid w:val="00033F69"/>
    <w:rsid w:val="00034847"/>
    <w:rsid w:val="00034987"/>
    <w:rsid w:val="00034BBD"/>
    <w:rsid w:val="00034D9E"/>
    <w:rsid w:val="000350E3"/>
    <w:rsid w:val="00037E52"/>
    <w:rsid w:val="00037FD7"/>
    <w:rsid w:val="000406B6"/>
    <w:rsid w:val="00040A67"/>
    <w:rsid w:val="00040EF9"/>
    <w:rsid w:val="00041EA5"/>
    <w:rsid w:val="00042E19"/>
    <w:rsid w:val="00044C6B"/>
    <w:rsid w:val="000452C3"/>
    <w:rsid w:val="000457E8"/>
    <w:rsid w:val="00046E94"/>
    <w:rsid w:val="00047976"/>
    <w:rsid w:val="00047B5C"/>
    <w:rsid w:val="00047D25"/>
    <w:rsid w:val="000500E4"/>
    <w:rsid w:val="0005023D"/>
    <w:rsid w:val="000509A6"/>
    <w:rsid w:val="00051075"/>
    <w:rsid w:val="00051832"/>
    <w:rsid w:val="00051900"/>
    <w:rsid w:val="00052CD4"/>
    <w:rsid w:val="00053070"/>
    <w:rsid w:val="00053A9B"/>
    <w:rsid w:val="00053CD4"/>
    <w:rsid w:val="00053D39"/>
    <w:rsid w:val="00053ECA"/>
    <w:rsid w:val="00053F52"/>
    <w:rsid w:val="000541B8"/>
    <w:rsid w:val="000544A4"/>
    <w:rsid w:val="00054733"/>
    <w:rsid w:val="00054A49"/>
    <w:rsid w:val="00055086"/>
    <w:rsid w:val="00055C74"/>
    <w:rsid w:val="00056672"/>
    <w:rsid w:val="00056815"/>
    <w:rsid w:val="000602DF"/>
    <w:rsid w:val="00061281"/>
    <w:rsid w:val="00061B05"/>
    <w:rsid w:val="00061DE4"/>
    <w:rsid w:val="00061E5B"/>
    <w:rsid w:val="000621C1"/>
    <w:rsid w:val="00062973"/>
    <w:rsid w:val="00062D5D"/>
    <w:rsid w:val="000632D5"/>
    <w:rsid w:val="0006344C"/>
    <w:rsid w:val="000637B2"/>
    <w:rsid w:val="0006380A"/>
    <w:rsid w:val="00063FC5"/>
    <w:rsid w:val="00064460"/>
    <w:rsid w:val="000644EE"/>
    <w:rsid w:val="000659CA"/>
    <w:rsid w:val="00065C9B"/>
    <w:rsid w:val="000668C5"/>
    <w:rsid w:val="00067173"/>
    <w:rsid w:val="000672A8"/>
    <w:rsid w:val="00067339"/>
    <w:rsid w:val="00067E74"/>
    <w:rsid w:val="000705A6"/>
    <w:rsid w:val="00070640"/>
    <w:rsid w:val="000707B1"/>
    <w:rsid w:val="00070CFF"/>
    <w:rsid w:val="00070E3F"/>
    <w:rsid w:val="00071152"/>
    <w:rsid w:val="00071ABC"/>
    <w:rsid w:val="00071DDF"/>
    <w:rsid w:val="0007277F"/>
    <w:rsid w:val="00072AA1"/>
    <w:rsid w:val="0007393B"/>
    <w:rsid w:val="000739F2"/>
    <w:rsid w:val="00073C89"/>
    <w:rsid w:val="00074217"/>
    <w:rsid w:val="000745AD"/>
    <w:rsid w:val="00074622"/>
    <w:rsid w:val="00074B41"/>
    <w:rsid w:val="00076620"/>
    <w:rsid w:val="000766BC"/>
    <w:rsid w:val="00077001"/>
    <w:rsid w:val="000772FD"/>
    <w:rsid w:val="00077642"/>
    <w:rsid w:val="00080E07"/>
    <w:rsid w:val="00080ECF"/>
    <w:rsid w:val="00080F83"/>
    <w:rsid w:val="000811C3"/>
    <w:rsid w:val="0008144D"/>
    <w:rsid w:val="00081F0E"/>
    <w:rsid w:val="00082019"/>
    <w:rsid w:val="00082A7E"/>
    <w:rsid w:val="00082D4B"/>
    <w:rsid w:val="000839D7"/>
    <w:rsid w:val="000842D0"/>
    <w:rsid w:val="000842ED"/>
    <w:rsid w:val="0008497E"/>
    <w:rsid w:val="000850D1"/>
    <w:rsid w:val="000851C2"/>
    <w:rsid w:val="000856D7"/>
    <w:rsid w:val="00085BA0"/>
    <w:rsid w:val="000870E4"/>
    <w:rsid w:val="000872E6"/>
    <w:rsid w:val="000873B0"/>
    <w:rsid w:val="00087D77"/>
    <w:rsid w:val="00087F6F"/>
    <w:rsid w:val="0009057B"/>
    <w:rsid w:val="00090684"/>
    <w:rsid w:val="000908EF"/>
    <w:rsid w:val="00090E15"/>
    <w:rsid w:val="00091056"/>
    <w:rsid w:val="000922C6"/>
    <w:rsid w:val="000925AD"/>
    <w:rsid w:val="000937D1"/>
    <w:rsid w:val="00093B25"/>
    <w:rsid w:val="00093EF0"/>
    <w:rsid w:val="0009448A"/>
    <w:rsid w:val="00094F3B"/>
    <w:rsid w:val="000956FA"/>
    <w:rsid w:val="0009586F"/>
    <w:rsid w:val="00095A17"/>
    <w:rsid w:val="000964DB"/>
    <w:rsid w:val="0009679A"/>
    <w:rsid w:val="000967E3"/>
    <w:rsid w:val="000977AC"/>
    <w:rsid w:val="000A0101"/>
    <w:rsid w:val="000A036B"/>
    <w:rsid w:val="000A0710"/>
    <w:rsid w:val="000A11B4"/>
    <w:rsid w:val="000A1AEB"/>
    <w:rsid w:val="000A1E35"/>
    <w:rsid w:val="000A24EB"/>
    <w:rsid w:val="000A3AB4"/>
    <w:rsid w:val="000A3DAA"/>
    <w:rsid w:val="000A581B"/>
    <w:rsid w:val="000A5944"/>
    <w:rsid w:val="000A5A04"/>
    <w:rsid w:val="000A6848"/>
    <w:rsid w:val="000A68FF"/>
    <w:rsid w:val="000A779D"/>
    <w:rsid w:val="000A7808"/>
    <w:rsid w:val="000B0BA7"/>
    <w:rsid w:val="000B0C2A"/>
    <w:rsid w:val="000B175C"/>
    <w:rsid w:val="000B213B"/>
    <w:rsid w:val="000B32A0"/>
    <w:rsid w:val="000B34B3"/>
    <w:rsid w:val="000B3517"/>
    <w:rsid w:val="000B365C"/>
    <w:rsid w:val="000B37DC"/>
    <w:rsid w:val="000B3F30"/>
    <w:rsid w:val="000B4ACE"/>
    <w:rsid w:val="000B64B6"/>
    <w:rsid w:val="000B6923"/>
    <w:rsid w:val="000B7985"/>
    <w:rsid w:val="000C033C"/>
    <w:rsid w:val="000C0520"/>
    <w:rsid w:val="000C05C5"/>
    <w:rsid w:val="000C0A1B"/>
    <w:rsid w:val="000C10EA"/>
    <w:rsid w:val="000C122A"/>
    <w:rsid w:val="000C1383"/>
    <w:rsid w:val="000C1422"/>
    <w:rsid w:val="000C142D"/>
    <w:rsid w:val="000C1C28"/>
    <w:rsid w:val="000C1FD5"/>
    <w:rsid w:val="000C4637"/>
    <w:rsid w:val="000C48F3"/>
    <w:rsid w:val="000C515F"/>
    <w:rsid w:val="000C528E"/>
    <w:rsid w:val="000C5655"/>
    <w:rsid w:val="000C5F3C"/>
    <w:rsid w:val="000C6CDB"/>
    <w:rsid w:val="000C6D97"/>
    <w:rsid w:val="000C6DCC"/>
    <w:rsid w:val="000C768D"/>
    <w:rsid w:val="000C7A9E"/>
    <w:rsid w:val="000C7F88"/>
    <w:rsid w:val="000C7FE0"/>
    <w:rsid w:val="000D013F"/>
    <w:rsid w:val="000D0BB7"/>
    <w:rsid w:val="000D16DF"/>
    <w:rsid w:val="000D1DCA"/>
    <w:rsid w:val="000D212D"/>
    <w:rsid w:val="000D2574"/>
    <w:rsid w:val="000D47AA"/>
    <w:rsid w:val="000D5BFF"/>
    <w:rsid w:val="000D5E61"/>
    <w:rsid w:val="000D6742"/>
    <w:rsid w:val="000D6DD8"/>
    <w:rsid w:val="000D71C0"/>
    <w:rsid w:val="000D721F"/>
    <w:rsid w:val="000D73E9"/>
    <w:rsid w:val="000E0493"/>
    <w:rsid w:val="000E069B"/>
    <w:rsid w:val="000E09E4"/>
    <w:rsid w:val="000E0E82"/>
    <w:rsid w:val="000E106C"/>
    <w:rsid w:val="000E151D"/>
    <w:rsid w:val="000E1861"/>
    <w:rsid w:val="000E1B7B"/>
    <w:rsid w:val="000E1DC5"/>
    <w:rsid w:val="000E223F"/>
    <w:rsid w:val="000E225E"/>
    <w:rsid w:val="000E26C9"/>
    <w:rsid w:val="000E2AB6"/>
    <w:rsid w:val="000E2CA6"/>
    <w:rsid w:val="000E3222"/>
    <w:rsid w:val="000E3389"/>
    <w:rsid w:val="000E35AC"/>
    <w:rsid w:val="000E432B"/>
    <w:rsid w:val="000E455F"/>
    <w:rsid w:val="000E48C6"/>
    <w:rsid w:val="000E572E"/>
    <w:rsid w:val="000E5748"/>
    <w:rsid w:val="000E62D6"/>
    <w:rsid w:val="000E670C"/>
    <w:rsid w:val="000E6875"/>
    <w:rsid w:val="000E6922"/>
    <w:rsid w:val="000E7720"/>
    <w:rsid w:val="000E7D45"/>
    <w:rsid w:val="000F12AF"/>
    <w:rsid w:val="000F2E9A"/>
    <w:rsid w:val="000F332D"/>
    <w:rsid w:val="000F3D47"/>
    <w:rsid w:val="000F3F03"/>
    <w:rsid w:val="000F419F"/>
    <w:rsid w:val="000F4413"/>
    <w:rsid w:val="000F4655"/>
    <w:rsid w:val="000F4AB9"/>
    <w:rsid w:val="000F4B11"/>
    <w:rsid w:val="000F4B7B"/>
    <w:rsid w:val="000F50D7"/>
    <w:rsid w:val="000F54CC"/>
    <w:rsid w:val="000F5C0F"/>
    <w:rsid w:val="000F5F03"/>
    <w:rsid w:val="000F6153"/>
    <w:rsid w:val="000F637A"/>
    <w:rsid w:val="000F6A7C"/>
    <w:rsid w:val="000F6BB7"/>
    <w:rsid w:val="000F7851"/>
    <w:rsid w:val="000F7D67"/>
    <w:rsid w:val="0010038B"/>
    <w:rsid w:val="0010125C"/>
    <w:rsid w:val="00101487"/>
    <w:rsid w:val="0010154E"/>
    <w:rsid w:val="0010166F"/>
    <w:rsid w:val="00101963"/>
    <w:rsid w:val="00103052"/>
    <w:rsid w:val="001033D0"/>
    <w:rsid w:val="0010383B"/>
    <w:rsid w:val="00103F3A"/>
    <w:rsid w:val="0010434A"/>
    <w:rsid w:val="00104D77"/>
    <w:rsid w:val="00104E23"/>
    <w:rsid w:val="001056C9"/>
    <w:rsid w:val="00106C57"/>
    <w:rsid w:val="00106F7C"/>
    <w:rsid w:val="00106FA9"/>
    <w:rsid w:val="00107580"/>
    <w:rsid w:val="0010774D"/>
    <w:rsid w:val="00107E71"/>
    <w:rsid w:val="001117C5"/>
    <w:rsid w:val="00111939"/>
    <w:rsid w:val="00111A1D"/>
    <w:rsid w:val="00111B0C"/>
    <w:rsid w:val="00112FF9"/>
    <w:rsid w:val="00113251"/>
    <w:rsid w:val="0011382F"/>
    <w:rsid w:val="00113B6C"/>
    <w:rsid w:val="00113F6E"/>
    <w:rsid w:val="00114089"/>
    <w:rsid w:val="00114331"/>
    <w:rsid w:val="0011434E"/>
    <w:rsid w:val="00114732"/>
    <w:rsid w:val="001147C1"/>
    <w:rsid w:val="001159AD"/>
    <w:rsid w:val="0011601F"/>
    <w:rsid w:val="0011624E"/>
    <w:rsid w:val="001176E0"/>
    <w:rsid w:val="00117B8B"/>
    <w:rsid w:val="00120A8C"/>
    <w:rsid w:val="00120D6C"/>
    <w:rsid w:val="00121E50"/>
    <w:rsid w:val="00123157"/>
    <w:rsid w:val="001243AA"/>
    <w:rsid w:val="001248BB"/>
    <w:rsid w:val="001257AB"/>
    <w:rsid w:val="001257EC"/>
    <w:rsid w:val="00125F49"/>
    <w:rsid w:val="00126021"/>
    <w:rsid w:val="001260C8"/>
    <w:rsid w:val="00126389"/>
    <w:rsid w:val="001264FC"/>
    <w:rsid w:val="00126BAF"/>
    <w:rsid w:val="00127511"/>
    <w:rsid w:val="001275F5"/>
    <w:rsid w:val="00127601"/>
    <w:rsid w:val="001308B8"/>
    <w:rsid w:val="00130E9D"/>
    <w:rsid w:val="001314A2"/>
    <w:rsid w:val="001315B4"/>
    <w:rsid w:val="00132C6A"/>
    <w:rsid w:val="00133774"/>
    <w:rsid w:val="00133D33"/>
    <w:rsid w:val="00134643"/>
    <w:rsid w:val="00134C03"/>
    <w:rsid w:val="00134D64"/>
    <w:rsid w:val="0013533D"/>
    <w:rsid w:val="00135915"/>
    <w:rsid w:val="0013598A"/>
    <w:rsid w:val="00135A30"/>
    <w:rsid w:val="0013612C"/>
    <w:rsid w:val="001362EF"/>
    <w:rsid w:val="001364A7"/>
    <w:rsid w:val="001367BF"/>
    <w:rsid w:val="00137278"/>
    <w:rsid w:val="001375BC"/>
    <w:rsid w:val="00137E25"/>
    <w:rsid w:val="00137EC9"/>
    <w:rsid w:val="00137FF6"/>
    <w:rsid w:val="001407F0"/>
    <w:rsid w:val="00141239"/>
    <w:rsid w:val="00141650"/>
    <w:rsid w:val="00141720"/>
    <w:rsid w:val="00142DF2"/>
    <w:rsid w:val="00143B56"/>
    <w:rsid w:val="00143F91"/>
    <w:rsid w:val="00145353"/>
    <w:rsid w:val="00146FF6"/>
    <w:rsid w:val="0015039E"/>
    <w:rsid w:val="00150452"/>
    <w:rsid w:val="00150BDC"/>
    <w:rsid w:val="00150FB6"/>
    <w:rsid w:val="00151226"/>
    <w:rsid w:val="00151249"/>
    <w:rsid w:val="001512CA"/>
    <w:rsid w:val="0015188D"/>
    <w:rsid w:val="00152064"/>
    <w:rsid w:val="00153F2F"/>
    <w:rsid w:val="0015439B"/>
    <w:rsid w:val="00154866"/>
    <w:rsid w:val="00154925"/>
    <w:rsid w:val="00155159"/>
    <w:rsid w:val="00155208"/>
    <w:rsid w:val="001554B0"/>
    <w:rsid w:val="00157A72"/>
    <w:rsid w:val="00157C19"/>
    <w:rsid w:val="00157E60"/>
    <w:rsid w:val="00160ACB"/>
    <w:rsid w:val="00160EF5"/>
    <w:rsid w:val="00161591"/>
    <w:rsid w:val="0016189B"/>
    <w:rsid w:val="001627D5"/>
    <w:rsid w:val="00162A12"/>
    <w:rsid w:val="00162D20"/>
    <w:rsid w:val="001635B7"/>
    <w:rsid w:val="001636B1"/>
    <w:rsid w:val="00163AF5"/>
    <w:rsid w:val="00164C18"/>
    <w:rsid w:val="0016517D"/>
    <w:rsid w:val="00165606"/>
    <w:rsid w:val="0016562E"/>
    <w:rsid w:val="00165CBA"/>
    <w:rsid w:val="00165ECC"/>
    <w:rsid w:val="00166256"/>
    <w:rsid w:val="00166530"/>
    <w:rsid w:val="00166E6F"/>
    <w:rsid w:val="00167060"/>
    <w:rsid w:val="00167C21"/>
    <w:rsid w:val="0017037C"/>
    <w:rsid w:val="0017076A"/>
    <w:rsid w:val="0017124A"/>
    <w:rsid w:val="001713D6"/>
    <w:rsid w:val="0017190B"/>
    <w:rsid w:val="001730D8"/>
    <w:rsid w:val="0017336D"/>
    <w:rsid w:val="0017389F"/>
    <w:rsid w:val="00173D4E"/>
    <w:rsid w:val="00173FFA"/>
    <w:rsid w:val="0017494A"/>
    <w:rsid w:val="0017499F"/>
    <w:rsid w:val="00175E0F"/>
    <w:rsid w:val="00176FD3"/>
    <w:rsid w:val="00177AB5"/>
    <w:rsid w:val="00177B22"/>
    <w:rsid w:val="00177C69"/>
    <w:rsid w:val="001801AB"/>
    <w:rsid w:val="0018052D"/>
    <w:rsid w:val="001806FA"/>
    <w:rsid w:val="0018077B"/>
    <w:rsid w:val="00181222"/>
    <w:rsid w:val="001812AF"/>
    <w:rsid w:val="00181862"/>
    <w:rsid w:val="00181AB4"/>
    <w:rsid w:val="001822CB"/>
    <w:rsid w:val="0018276A"/>
    <w:rsid w:val="001832BD"/>
    <w:rsid w:val="00183C2B"/>
    <w:rsid w:val="00184AD1"/>
    <w:rsid w:val="00185C57"/>
    <w:rsid w:val="00186859"/>
    <w:rsid w:val="00186E5A"/>
    <w:rsid w:val="00187E75"/>
    <w:rsid w:val="001904FF"/>
    <w:rsid w:val="001907DA"/>
    <w:rsid w:val="00190BA1"/>
    <w:rsid w:val="00190C22"/>
    <w:rsid w:val="00191397"/>
    <w:rsid w:val="001917AD"/>
    <w:rsid w:val="001919B0"/>
    <w:rsid w:val="00192218"/>
    <w:rsid w:val="00192B26"/>
    <w:rsid w:val="00192B75"/>
    <w:rsid w:val="00192D2F"/>
    <w:rsid w:val="00193209"/>
    <w:rsid w:val="0019383A"/>
    <w:rsid w:val="001943B5"/>
    <w:rsid w:val="00195134"/>
    <w:rsid w:val="001955F9"/>
    <w:rsid w:val="001959D2"/>
    <w:rsid w:val="00195F30"/>
    <w:rsid w:val="001966BF"/>
    <w:rsid w:val="001972E4"/>
    <w:rsid w:val="00197C15"/>
    <w:rsid w:val="001A0DBB"/>
    <w:rsid w:val="001A145B"/>
    <w:rsid w:val="001A14F4"/>
    <w:rsid w:val="001A1858"/>
    <w:rsid w:val="001A1AB9"/>
    <w:rsid w:val="001A262A"/>
    <w:rsid w:val="001A296F"/>
    <w:rsid w:val="001A29E6"/>
    <w:rsid w:val="001A3BF2"/>
    <w:rsid w:val="001A4C3C"/>
    <w:rsid w:val="001A520D"/>
    <w:rsid w:val="001A5D5B"/>
    <w:rsid w:val="001A65CE"/>
    <w:rsid w:val="001A674C"/>
    <w:rsid w:val="001A6BB9"/>
    <w:rsid w:val="001A6E0A"/>
    <w:rsid w:val="001B0CD1"/>
    <w:rsid w:val="001B0F00"/>
    <w:rsid w:val="001B13A7"/>
    <w:rsid w:val="001B285B"/>
    <w:rsid w:val="001B2B41"/>
    <w:rsid w:val="001B3B24"/>
    <w:rsid w:val="001B43E6"/>
    <w:rsid w:val="001B449D"/>
    <w:rsid w:val="001B4F74"/>
    <w:rsid w:val="001B5913"/>
    <w:rsid w:val="001B5D8A"/>
    <w:rsid w:val="001B678F"/>
    <w:rsid w:val="001B68ED"/>
    <w:rsid w:val="001B7BBA"/>
    <w:rsid w:val="001C011F"/>
    <w:rsid w:val="001C0EDC"/>
    <w:rsid w:val="001C0F98"/>
    <w:rsid w:val="001C120B"/>
    <w:rsid w:val="001C2A42"/>
    <w:rsid w:val="001C302E"/>
    <w:rsid w:val="001C4A46"/>
    <w:rsid w:val="001C60AB"/>
    <w:rsid w:val="001C66A9"/>
    <w:rsid w:val="001C6CD2"/>
    <w:rsid w:val="001C734A"/>
    <w:rsid w:val="001C792F"/>
    <w:rsid w:val="001D0E68"/>
    <w:rsid w:val="001D0FEB"/>
    <w:rsid w:val="001D1A8C"/>
    <w:rsid w:val="001D1C45"/>
    <w:rsid w:val="001D2103"/>
    <w:rsid w:val="001D2F6B"/>
    <w:rsid w:val="001D3558"/>
    <w:rsid w:val="001D4426"/>
    <w:rsid w:val="001D49BC"/>
    <w:rsid w:val="001D5191"/>
    <w:rsid w:val="001D54F5"/>
    <w:rsid w:val="001D5BAC"/>
    <w:rsid w:val="001D5C22"/>
    <w:rsid w:val="001D61DC"/>
    <w:rsid w:val="001D63ED"/>
    <w:rsid w:val="001D7348"/>
    <w:rsid w:val="001D7825"/>
    <w:rsid w:val="001D7C1D"/>
    <w:rsid w:val="001E035B"/>
    <w:rsid w:val="001E0961"/>
    <w:rsid w:val="001E0F4A"/>
    <w:rsid w:val="001E12A2"/>
    <w:rsid w:val="001E1FB0"/>
    <w:rsid w:val="001E2A9B"/>
    <w:rsid w:val="001E3EAE"/>
    <w:rsid w:val="001E4213"/>
    <w:rsid w:val="001E429D"/>
    <w:rsid w:val="001E4779"/>
    <w:rsid w:val="001E47D7"/>
    <w:rsid w:val="001E5348"/>
    <w:rsid w:val="001E61BC"/>
    <w:rsid w:val="001E61EC"/>
    <w:rsid w:val="001E6CD3"/>
    <w:rsid w:val="001E6F32"/>
    <w:rsid w:val="001E7579"/>
    <w:rsid w:val="001E7D17"/>
    <w:rsid w:val="001F0364"/>
    <w:rsid w:val="001F0670"/>
    <w:rsid w:val="001F08AA"/>
    <w:rsid w:val="001F1B99"/>
    <w:rsid w:val="001F2145"/>
    <w:rsid w:val="001F33DE"/>
    <w:rsid w:val="001F39E8"/>
    <w:rsid w:val="001F40F7"/>
    <w:rsid w:val="001F4D42"/>
    <w:rsid w:val="001F5396"/>
    <w:rsid w:val="001F58C0"/>
    <w:rsid w:val="001F5979"/>
    <w:rsid w:val="001F5F33"/>
    <w:rsid w:val="001F6262"/>
    <w:rsid w:val="001F6467"/>
    <w:rsid w:val="001F6490"/>
    <w:rsid w:val="001F67B0"/>
    <w:rsid w:val="001F6958"/>
    <w:rsid w:val="001F704F"/>
    <w:rsid w:val="001F7B3D"/>
    <w:rsid w:val="001F7DCF"/>
    <w:rsid w:val="001F7E86"/>
    <w:rsid w:val="001F7EB9"/>
    <w:rsid w:val="0020041D"/>
    <w:rsid w:val="002006B5"/>
    <w:rsid w:val="002008BA"/>
    <w:rsid w:val="00200D78"/>
    <w:rsid w:val="00201266"/>
    <w:rsid w:val="00201F40"/>
    <w:rsid w:val="002031C2"/>
    <w:rsid w:val="00203471"/>
    <w:rsid w:val="00203EC7"/>
    <w:rsid w:val="00205F9F"/>
    <w:rsid w:val="00206004"/>
    <w:rsid w:val="00206424"/>
    <w:rsid w:val="00206B63"/>
    <w:rsid w:val="0020700D"/>
    <w:rsid w:val="0020728B"/>
    <w:rsid w:val="0020737B"/>
    <w:rsid w:val="00207AD8"/>
    <w:rsid w:val="00210338"/>
    <w:rsid w:val="0021094D"/>
    <w:rsid w:val="00210DCE"/>
    <w:rsid w:val="00210EFB"/>
    <w:rsid w:val="002115FC"/>
    <w:rsid w:val="002121F9"/>
    <w:rsid w:val="00212CF6"/>
    <w:rsid w:val="00213190"/>
    <w:rsid w:val="002133F8"/>
    <w:rsid w:val="0021423C"/>
    <w:rsid w:val="002151D3"/>
    <w:rsid w:val="00215359"/>
    <w:rsid w:val="00216D37"/>
    <w:rsid w:val="002176D8"/>
    <w:rsid w:val="002202AB"/>
    <w:rsid w:val="00220565"/>
    <w:rsid w:val="002207B3"/>
    <w:rsid w:val="0022097B"/>
    <w:rsid w:val="00220EAF"/>
    <w:rsid w:val="00221C26"/>
    <w:rsid w:val="002231B6"/>
    <w:rsid w:val="00223327"/>
    <w:rsid w:val="00223B1D"/>
    <w:rsid w:val="00224279"/>
    <w:rsid w:val="002244AA"/>
    <w:rsid w:val="002253ED"/>
    <w:rsid w:val="00225603"/>
    <w:rsid w:val="0022624D"/>
    <w:rsid w:val="00226984"/>
    <w:rsid w:val="002270BD"/>
    <w:rsid w:val="002279A9"/>
    <w:rsid w:val="002303C6"/>
    <w:rsid w:val="00230D00"/>
    <w:rsid w:val="00231DF7"/>
    <w:rsid w:val="00231FD1"/>
    <w:rsid w:val="0023309F"/>
    <w:rsid w:val="00233756"/>
    <w:rsid w:val="002339E0"/>
    <w:rsid w:val="00233CF8"/>
    <w:rsid w:val="00234C2C"/>
    <w:rsid w:val="00234DCE"/>
    <w:rsid w:val="0023575D"/>
    <w:rsid w:val="0023580D"/>
    <w:rsid w:val="00235CB8"/>
    <w:rsid w:val="00235EF5"/>
    <w:rsid w:val="0023618D"/>
    <w:rsid w:val="0023655E"/>
    <w:rsid w:val="00237148"/>
    <w:rsid w:val="00237372"/>
    <w:rsid w:val="0024023B"/>
    <w:rsid w:val="00241154"/>
    <w:rsid w:val="00242141"/>
    <w:rsid w:val="0024222D"/>
    <w:rsid w:val="002422C1"/>
    <w:rsid w:val="00243848"/>
    <w:rsid w:val="00243FA3"/>
    <w:rsid w:val="00244137"/>
    <w:rsid w:val="002448AE"/>
    <w:rsid w:val="00244B0E"/>
    <w:rsid w:val="00244F6C"/>
    <w:rsid w:val="002454C7"/>
    <w:rsid w:val="002469D8"/>
    <w:rsid w:val="00246B06"/>
    <w:rsid w:val="00246F5D"/>
    <w:rsid w:val="00247392"/>
    <w:rsid w:val="00247582"/>
    <w:rsid w:val="002476D6"/>
    <w:rsid w:val="00247A1D"/>
    <w:rsid w:val="00250168"/>
    <w:rsid w:val="002503C7"/>
    <w:rsid w:val="00250EB4"/>
    <w:rsid w:val="00251D06"/>
    <w:rsid w:val="00251F60"/>
    <w:rsid w:val="002527E9"/>
    <w:rsid w:val="00252A63"/>
    <w:rsid w:val="002532C5"/>
    <w:rsid w:val="00253430"/>
    <w:rsid w:val="0025352C"/>
    <w:rsid w:val="00254679"/>
    <w:rsid w:val="002547DF"/>
    <w:rsid w:val="00254A94"/>
    <w:rsid w:val="00254EA9"/>
    <w:rsid w:val="002553BE"/>
    <w:rsid w:val="00256A16"/>
    <w:rsid w:val="00257202"/>
    <w:rsid w:val="00260C03"/>
    <w:rsid w:val="0026175C"/>
    <w:rsid w:val="002629B1"/>
    <w:rsid w:val="00262A7D"/>
    <w:rsid w:val="0026317D"/>
    <w:rsid w:val="002639CF"/>
    <w:rsid w:val="002643FE"/>
    <w:rsid w:val="002644D9"/>
    <w:rsid w:val="002645F3"/>
    <w:rsid w:val="00264921"/>
    <w:rsid w:val="0026519F"/>
    <w:rsid w:val="0026540E"/>
    <w:rsid w:val="00266762"/>
    <w:rsid w:val="00266E42"/>
    <w:rsid w:val="00270F8E"/>
    <w:rsid w:val="00271DA6"/>
    <w:rsid w:val="0027225C"/>
    <w:rsid w:val="002723D6"/>
    <w:rsid w:val="002723E2"/>
    <w:rsid w:val="00272D1E"/>
    <w:rsid w:val="00272F5C"/>
    <w:rsid w:val="002730C8"/>
    <w:rsid w:val="00273DC5"/>
    <w:rsid w:val="00274A73"/>
    <w:rsid w:val="00274C7B"/>
    <w:rsid w:val="00274E4A"/>
    <w:rsid w:val="00275123"/>
    <w:rsid w:val="002751B1"/>
    <w:rsid w:val="002755A8"/>
    <w:rsid w:val="00275CDC"/>
    <w:rsid w:val="002760E3"/>
    <w:rsid w:val="002776D8"/>
    <w:rsid w:val="00280091"/>
    <w:rsid w:val="00280CCE"/>
    <w:rsid w:val="00280FCE"/>
    <w:rsid w:val="002812D5"/>
    <w:rsid w:val="00281CD8"/>
    <w:rsid w:val="00282240"/>
    <w:rsid w:val="00282423"/>
    <w:rsid w:val="002834DD"/>
    <w:rsid w:val="002839DF"/>
    <w:rsid w:val="0028417E"/>
    <w:rsid w:val="0028478B"/>
    <w:rsid w:val="0028572A"/>
    <w:rsid w:val="002877B1"/>
    <w:rsid w:val="00287976"/>
    <w:rsid w:val="00290971"/>
    <w:rsid w:val="00291455"/>
    <w:rsid w:val="0029270F"/>
    <w:rsid w:val="00293033"/>
    <w:rsid w:val="0029337B"/>
    <w:rsid w:val="00294325"/>
    <w:rsid w:val="002948AD"/>
    <w:rsid w:val="00294C05"/>
    <w:rsid w:val="00294C92"/>
    <w:rsid w:val="002951CF"/>
    <w:rsid w:val="002958AF"/>
    <w:rsid w:val="00296525"/>
    <w:rsid w:val="00296D51"/>
    <w:rsid w:val="002972BB"/>
    <w:rsid w:val="002978BC"/>
    <w:rsid w:val="002A01CC"/>
    <w:rsid w:val="002A0D64"/>
    <w:rsid w:val="002A15AD"/>
    <w:rsid w:val="002A17BE"/>
    <w:rsid w:val="002A18C2"/>
    <w:rsid w:val="002A1BEA"/>
    <w:rsid w:val="002A286B"/>
    <w:rsid w:val="002A2E8B"/>
    <w:rsid w:val="002A41D6"/>
    <w:rsid w:val="002A421B"/>
    <w:rsid w:val="002A4327"/>
    <w:rsid w:val="002A44A2"/>
    <w:rsid w:val="002A44DF"/>
    <w:rsid w:val="002A4C24"/>
    <w:rsid w:val="002A61B1"/>
    <w:rsid w:val="002A663C"/>
    <w:rsid w:val="002A6E4A"/>
    <w:rsid w:val="002A7444"/>
    <w:rsid w:val="002A7DA8"/>
    <w:rsid w:val="002B08EB"/>
    <w:rsid w:val="002B1E6C"/>
    <w:rsid w:val="002B2442"/>
    <w:rsid w:val="002B2A51"/>
    <w:rsid w:val="002B415F"/>
    <w:rsid w:val="002B444B"/>
    <w:rsid w:val="002B4957"/>
    <w:rsid w:val="002B5887"/>
    <w:rsid w:val="002B5D7C"/>
    <w:rsid w:val="002B6D11"/>
    <w:rsid w:val="002C015E"/>
    <w:rsid w:val="002C0692"/>
    <w:rsid w:val="002C06FD"/>
    <w:rsid w:val="002C0E27"/>
    <w:rsid w:val="002C102A"/>
    <w:rsid w:val="002C10F6"/>
    <w:rsid w:val="002C1847"/>
    <w:rsid w:val="002C2091"/>
    <w:rsid w:val="002C2C2F"/>
    <w:rsid w:val="002C3040"/>
    <w:rsid w:val="002C478E"/>
    <w:rsid w:val="002C4B6C"/>
    <w:rsid w:val="002C4D91"/>
    <w:rsid w:val="002C4E55"/>
    <w:rsid w:val="002C501F"/>
    <w:rsid w:val="002C52DB"/>
    <w:rsid w:val="002C5F89"/>
    <w:rsid w:val="002C6415"/>
    <w:rsid w:val="002C751C"/>
    <w:rsid w:val="002C7EE8"/>
    <w:rsid w:val="002D022D"/>
    <w:rsid w:val="002D0AF1"/>
    <w:rsid w:val="002D1A21"/>
    <w:rsid w:val="002D24BB"/>
    <w:rsid w:val="002D31F0"/>
    <w:rsid w:val="002D381F"/>
    <w:rsid w:val="002D3DED"/>
    <w:rsid w:val="002D40D8"/>
    <w:rsid w:val="002D4133"/>
    <w:rsid w:val="002D4167"/>
    <w:rsid w:val="002D49BA"/>
    <w:rsid w:val="002D5419"/>
    <w:rsid w:val="002D553C"/>
    <w:rsid w:val="002D5643"/>
    <w:rsid w:val="002D5697"/>
    <w:rsid w:val="002D5778"/>
    <w:rsid w:val="002D6220"/>
    <w:rsid w:val="002D6676"/>
    <w:rsid w:val="002D67E2"/>
    <w:rsid w:val="002D6B1A"/>
    <w:rsid w:val="002D6CB1"/>
    <w:rsid w:val="002E0273"/>
    <w:rsid w:val="002E0725"/>
    <w:rsid w:val="002E08AC"/>
    <w:rsid w:val="002E0B62"/>
    <w:rsid w:val="002E231A"/>
    <w:rsid w:val="002E23AC"/>
    <w:rsid w:val="002E2A77"/>
    <w:rsid w:val="002E2CA5"/>
    <w:rsid w:val="002E3477"/>
    <w:rsid w:val="002E3495"/>
    <w:rsid w:val="002E3B55"/>
    <w:rsid w:val="002E4946"/>
    <w:rsid w:val="002E539E"/>
    <w:rsid w:val="002E575E"/>
    <w:rsid w:val="002E6DE9"/>
    <w:rsid w:val="002F080C"/>
    <w:rsid w:val="002F0A95"/>
    <w:rsid w:val="002F178C"/>
    <w:rsid w:val="002F2129"/>
    <w:rsid w:val="002F2362"/>
    <w:rsid w:val="002F243A"/>
    <w:rsid w:val="002F27B8"/>
    <w:rsid w:val="002F27F5"/>
    <w:rsid w:val="002F2AF7"/>
    <w:rsid w:val="002F3210"/>
    <w:rsid w:val="002F3534"/>
    <w:rsid w:val="002F3536"/>
    <w:rsid w:val="002F360B"/>
    <w:rsid w:val="002F3EC4"/>
    <w:rsid w:val="002F41B8"/>
    <w:rsid w:val="002F5204"/>
    <w:rsid w:val="002F5971"/>
    <w:rsid w:val="002F5D98"/>
    <w:rsid w:val="002F69A1"/>
    <w:rsid w:val="002F780E"/>
    <w:rsid w:val="002F7E1C"/>
    <w:rsid w:val="002F7EB2"/>
    <w:rsid w:val="0030012F"/>
    <w:rsid w:val="003015CF"/>
    <w:rsid w:val="00301A75"/>
    <w:rsid w:val="00301B66"/>
    <w:rsid w:val="0030204F"/>
    <w:rsid w:val="003020F2"/>
    <w:rsid w:val="00302208"/>
    <w:rsid w:val="00302BF5"/>
    <w:rsid w:val="00302EBC"/>
    <w:rsid w:val="00302F4A"/>
    <w:rsid w:val="00302F70"/>
    <w:rsid w:val="0030336F"/>
    <w:rsid w:val="0030375E"/>
    <w:rsid w:val="00303A15"/>
    <w:rsid w:val="00304DD1"/>
    <w:rsid w:val="0030531F"/>
    <w:rsid w:val="003058EB"/>
    <w:rsid w:val="00305A74"/>
    <w:rsid w:val="00306A0F"/>
    <w:rsid w:val="00307A34"/>
    <w:rsid w:val="00310B7E"/>
    <w:rsid w:val="003110E5"/>
    <w:rsid w:val="00311F4E"/>
    <w:rsid w:val="00312A30"/>
    <w:rsid w:val="00312BB8"/>
    <w:rsid w:val="00312CD5"/>
    <w:rsid w:val="00314AB0"/>
    <w:rsid w:val="00314B01"/>
    <w:rsid w:val="003150B0"/>
    <w:rsid w:val="0031533E"/>
    <w:rsid w:val="00315ECC"/>
    <w:rsid w:val="00315F94"/>
    <w:rsid w:val="00316F37"/>
    <w:rsid w:val="00317B76"/>
    <w:rsid w:val="00317BD4"/>
    <w:rsid w:val="00320D21"/>
    <w:rsid w:val="00320D2E"/>
    <w:rsid w:val="00320DD2"/>
    <w:rsid w:val="00320F72"/>
    <w:rsid w:val="00321082"/>
    <w:rsid w:val="00321C4F"/>
    <w:rsid w:val="00321FAD"/>
    <w:rsid w:val="0032274D"/>
    <w:rsid w:val="003232F0"/>
    <w:rsid w:val="00323FAB"/>
    <w:rsid w:val="0032463E"/>
    <w:rsid w:val="00324AAA"/>
    <w:rsid w:val="00326224"/>
    <w:rsid w:val="0032676F"/>
    <w:rsid w:val="00326D31"/>
    <w:rsid w:val="00326DD3"/>
    <w:rsid w:val="00327D43"/>
    <w:rsid w:val="00327FA9"/>
    <w:rsid w:val="003303FC"/>
    <w:rsid w:val="00330FC6"/>
    <w:rsid w:val="00331464"/>
    <w:rsid w:val="00331526"/>
    <w:rsid w:val="00331548"/>
    <w:rsid w:val="0033165C"/>
    <w:rsid w:val="0033264D"/>
    <w:rsid w:val="0033319A"/>
    <w:rsid w:val="003331EE"/>
    <w:rsid w:val="00333B46"/>
    <w:rsid w:val="00333CF6"/>
    <w:rsid w:val="00335162"/>
    <w:rsid w:val="003351BB"/>
    <w:rsid w:val="003361C8"/>
    <w:rsid w:val="003368E3"/>
    <w:rsid w:val="00337868"/>
    <w:rsid w:val="00337A5E"/>
    <w:rsid w:val="00337EE4"/>
    <w:rsid w:val="003400F8"/>
    <w:rsid w:val="00340FFD"/>
    <w:rsid w:val="00341261"/>
    <w:rsid w:val="00341D6C"/>
    <w:rsid w:val="00341F90"/>
    <w:rsid w:val="00343280"/>
    <w:rsid w:val="00344E3C"/>
    <w:rsid w:val="00345D28"/>
    <w:rsid w:val="003462A3"/>
    <w:rsid w:val="00347173"/>
    <w:rsid w:val="003506B1"/>
    <w:rsid w:val="00351301"/>
    <w:rsid w:val="00351927"/>
    <w:rsid w:val="00351CF1"/>
    <w:rsid w:val="003522E6"/>
    <w:rsid w:val="00352ACA"/>
    <w:rsid w:val="00352ED3"/>
    <w:rsid w:val="00352F56"/>
    <w:rsid w:val="00353C1D"/>
    <w:rsid w:val="003540F3"/>
    <w:rsid w:val="00354347"/>
    <w:rsid w:val="0035599C"/>
    <w:rsid w:val="00355F50"/>
    <w:rsid w:val="00356323"/>
    <w:rsid w:val="00356574"/>
    <w:rsid w:val="00356905"/>
    <w:rsid w:val="00356AC7"/>
    <w:rsid w:val="0035749E"/>
    <w:rsid w:val="0035750F"/>
    <w:rsid w:val="003609FA"/>
    <w:rsid w:val="00362169"/>
    <w:rsid w:val="0036294A"/>
    <w:rsid w:val="003629FE"/>
    <w:rsid w:val="00363A7C"/>
    <w:rsid w:val="00363C96"/>
    <w:rsid w:val="00365A14"/>
    <w:rsid w:val="00365C4D"/>
    <w:rsid w:val="003660C6"/>
    <w:rsid w:val="003669E7"/>
    <w:rsid w:val="00366A72"/>
    <w:rsid w:val="00370BD4"/>
    <w:rsid w:val="00370DE9"/>
    <w:rsid w:val="003710C8"/>
    <w:rsid w:val="003713DE"/>
    <w:rsid w:val="00371953"/>
    <w:rsid w:val="00372AB9"/>
    <w:rsid w:val="00373983"/>
    <w:rsid w:val="00373A96"/>
    <w:rsid w:val="00373C4B"/>
    <w:rsid w:val="003750BE"/>
    <w:rsid w:val="00375B4B"/>
    <w:rsid w:val="00375B7C"/>
    <w:rsid w:val="00376BF2"/>
    <w:rsid w:val="00376F76"/>
    <w:rsid w:val="00377614"/>
    <w:rsid w:val="00377780"/>
    <w:rsid w:val="003802C4"/>
    <w:rsid w:val="0038129A"/>
    <w:rsid w:val="00381422"/>
    <w:rsid w:val="003818A3"/>
    <w:rsid w:val="00381C44"/>
    <w:rsid w:val="00381E4A"/>
    <w:rsid w:val="003822CD"/>
    <w:rsid w:val="003831AB"/>
    <w:rsid w:val="003846B6"/>
    <w:rsid w:val="00385BD2"/>
    <w:rsid w:val="0038620F"/>
    <w:rsid w:val="00386725"/>
    <w:rsid w:val="003868E2"/>
    <w:rsid w:val="00386BEE"/>
    <w:rsid w:val="00387063"/>
    <w:rsid w:val="0038752D"/>
    <w:rsid w:val="00387B9D"/>
    <w:rsid w:val="00387D3C"/>
    <w:rsid w:val="00387EAA"/>
    <w:rsid w:val="00387FBF"/>
    <w:rsid w:val="00390210"/>
    <w:rsid w:val="00390289"/>
    <w:rsid w:val="0039273D"/>
    <w:rsid w:val="0039291C"/>
    <w:rsid w:val="00392DCD"/>
    <w:rsid w:val="00392FEF"/>
    <w:rsid w:val="0039364F"/>
    <w:rsid w:val="00393908"/>
    <w:rsid w:val="00393912"/>
    <w:rsid w:val="00393F62"/>
    <w:rsid w:val="00394145"/>
    <w:rsid w:val="00394AD6"/>
    <w:rsid w:val="00395072"/>
    <w:rsid w:val="00395C2A"/>
    <w:rsid w:val="00396552"/>
    <w:rsid w:val="00396686"/>
    <w:rsid w:val="003969DC"/>
    <w:rsid w:val="00396A28"/>
    <w:rsid w:val="00396DF1"/>
    <w:rsid w:val="00396E82"/>
    <w:rsid w:val="0039746E"/>
    <w:rsid w:val="0039778E"/>
    <w:rsid w:val="00397CC1"/>
    <w:rsid w:val="003A0A53"/>
    <w:rsid w:val="003A1D29"/>
    <w:rsid w:val="003A1DD1"/>
    <w:rsid w:val="003A239F"/>
    <w:rsid w:val="003A250C"/>
    <w:rsid w:val="003A25AD"/>
    <w:rsid w:val="003A37E4"/>
    <w:rsid w:val="003A441D"/>
    <w:rsid w:val="003A497D"/>
    <w:rsid w:val="003A4A77"/>
    <w:rsid w:val="003A4D01"/>
    <w:rsid w:val="003A6549"/>
    <w:rsid w:val="003A6A4E"/>
    <w:rsid w:val="003A7C5A"/>
    <w:rsid w:val="003A7D8D"/>
    <w:rsid w:val="003B0EB6"/>
    <w:rsid w:val="003B0FBF"/>
    <w:rsid w:val="003B186B"/>
    <w:rsid w:val="003B3430"/>
    <w:rsid w:val="003B3706"/>
    <w:rsid w:val="003B39A7"/>
    <w:rsid w:val="003B46D0"/>
    <w:rsid w:val="003B4941"/>
    <w:rsid w:val="003B581E"/>
    <w:rsid w:val="003B5C1E"/>
    <w:rsid w:val="003B6C91"/>
    <w:rsid w:val="003B79F0"/>
    <w:rsid w:val="003B7CD1"/>
    <w:rsid w:val="003C015B"/>
    <w:rsid w:val="003C0710"/>
    <w:rsid w:val="003C0E6D"/>
    <w:rsid w:val="003C0F53"/>
    <w:rsid w:val="003C126A"/>
    <w:rsid w:val="003C151E"/>
    <w:rsid w:val="003C1852"/>
    <w:rsid w:val="003C18FE"/>
    <w:rsid w:val="003C1EED"/>
    <w:rsid w:val="003C2E40"/>
    <w:rsid w:val="003C4960"/>
    <w:rsid w:val="003C4A89"/>
    <w:rsid w:val="003C5714"/>
    <w:rsid w:val="003C5B4D"/>
    <w:rsid w:val="003C5C59"/>
    <w:rsid w:val="003C68AE"/>
    <w:rsid w:val="003C699E"/>
    <w:rsid w:val="003C6B9F"/>
    <w:rsid w:val="003C6E2A"/>
    <w:rsid w:val="003C713E"/>
    <w:rsid w:val="003C75C9"/>
    <w:rsid w:val="003C7945"/>
    <w:rsid w:val="003C79B1"/>
    <w:rsid w:val="003D0299"/>
    <w:rsid w:val="003D02B3"/>
    <w:rsid w:val="003D033B"/>
    <w:rsid w:val="003D0CF7"/>
    <w:rsid w:val="003D173F"/>
    <w:rsid w:val="003D1AFC"/>
    <w:rsid w:val="003D2ED5"/>
    <w:rsid w:val="003D3A06"/>
    <w:rsid w:val="003D4413"/>
    <w:rsid w:val="003D510E"/>
    <w:rsid w:val="003D51FC"/>
    <w:rsid w:val="003D5332"/>
    <w:rsid w:val="003D5D9E"/>
    <w:rsid w:val="003D5FF1"/>
    <w:rsid w:val="003D6A1B"/>
    <w:rsid w:val="003D7344"/>
    <w:rsid w:val="003D7417"/>
    <w:rsid w:val="003D7B1D"/>
    <w:rsid w:val="003D7E54"/>
    <w:rsid w:val="003E0049"/>
    <w:rsid w:val="003E0A90"/>
    <w:rsid w:val="003E1260"/>
    <w:rsid w:val="003E158D"/>
    <w:rsid w:val="003E1647"/>
    <w:rsid w:val="003E2299"/>
    <w:rsid w:val="003E2514"/>
    <w:rsid w:val="003E2B93"/>
    <w:rsid w:val="003E3665"/>
    <w:rsid w:val="003E36E0"/>
    <w:rsid w:val="003E382B"/>
    <w:rsid w:val="003E3835"/>
    <w:rsid w:val="003E3ADB"/>
    <w:rsid w:val="003E4015"/>
    <w:rsid w:val="003E44DE"/>
    <w:rsid w:val="003E44DF"/>
    <w:rsid w:val="003E5A6E"/>
    <w:rsid w:val="003E6D5E"/>
    <w:rsid w:val="003E6D80"/>
    <w:rsid w:val="003E793B"/>
    <w:rsid w:val="003E7C21"/>
    <w:rsid w:val="003F05FA"/>
    <w:rsid w:val="003F0ED7"/>
    <w:rsid w:val="003F1C74"/>
    <w:rsid w:val="003F244A"/>
    <w:rsid w:val="003F25F9"/>
    <w:rsid w:val="003F26D0"/>
    <w:rsid w:val="003F30B8"/>
    <w:rsid w:val="003F4656"/>
    <w:rsid w:val="003F494E"/>
    <w:rsid w:val="003F4C45"/>
    <w:rsid w:val="003F50CC"/>
    <w:rsid w:val="003F5150"/>
    <w:rsid w:val="003F5264"/>
    <w:rsid w:val="003F5321"/>
    <w:rsid w:val="003F5A3C"/>
    <w:rsid w:val="003F5F7B"/>
    <w:rsid w:val="003F705B"/>
    <w:rsid w:val="003F76ED"/>
    <w:rsid w:val="003F7D64"/>
    <w:rsid w:val="0040020F"/>
    <w:rsid w:val="00400A65"/>
    <w:rsid w:val="00400CCE"/>
    <w:rsid w:val="0040124E"/>
    <w:rsid w:val="00402E1D"/>
    <w:rsid w:val="00403DC3"/>
    <w:rsid w:val="0040437E"/>
    <w:rsid w:val="00404D83"/>
    <w:rsid w:val="00404E58"/>
    <w:rsid w:val="0040589E"/>
    <w:rsid w:val="00406158"/>
    <w:rsid w:val="0040670D"/>
    <w:rsid w:val="004070A0"/>
    <w:rsid w:val="004073DE"/>
    <w:rsid w:val="0040793D"/>
    <w:rsid w:val="00410C92"/>
    <w:rsid w:val="0041165D"/>
    <w:rsid w:val="00412549"/>
    <w:rsid w:val="00412909"/>
    <w:rsid w:val="00413992"/>
    <w:rsid w:val="004139F9"/>
    <w:rsid w:val="00413CF3"/>
    <w:rsid w:val="0041409C"/>
    <w:rsid w:val="00414300"/>
    <w:rsid w:val="004158B0"/>
    <w:rsid w:val="00417768"/>
    <w:rsid w:val="004205DE"/>
    <w:rsid w:val="00420669"/>
    <w:rsid w:val="00420B06"/>
    <w:rsid w:val="00420F0B"/>
    <w:rsid w:val="00421AB2"/>
    <w:rsid w:val="0042209B"/>
    <w:rsid w:val="00422B77"/>
    <w:rsid w:val="0042325C"/>
    <w:rsid w:val="004247EF"/>
    <w:rsid w:val="0042512B"/>
    <w:rsid w:val="004252C6"/>
    <w:rsid w:val="0042556D"/>
    <w:rsid w:val="00425B05"/>
    <w:rsid w:val="00425C67"/>
    <w:rsid w:val="0042613E"/>
    <w:rsid w:val="004264C1"/>
    <w:rsid w:val="00426685"/>
    <w:rsid w:val="00426932"/>
    <w:rsid w:val="00426CE7"/>
    <w:rsid w:val="00427ADA"/>
    <w:rsid w:val="00427E7A"/>
    <w:rsid w:val="004301C5"/>
    <w:rsid w:val="004303F1"/>
    <w:rsid w:val="00430431"/>
    <w:rsid w:val="004314DB"/>
    <w:rsid w:val="00431ECC"/>
    <w:rsid w:val="0043258D"/>
    <w:rsid w:val="00432846"/>
    <w:rsid w:val="00432918"/>
    <w:rsid w:val="00433650"/>
    <w:rsid w:val="0043396D"/>
    <w:rsid w:val="00433DD0"/>
    <w:rsid w:val="0043452B"/>
    <w:rsid w:val="0043497A"/>
    <w:rsid w:val="004359EF"/>
    <w:rsid w:val="00435D6E"/>
    <w:rsid w:val="00435E7C"/>
    <w:rsid w:val="00436307"/>
    <w:rsid w:val="00436480"/>
    <w:rsid w:val="004367D8"/>
    <w:rsid w:val="00436C49"/>
    <w:rsid w:val="004372A9"/>
    <w:rsid w:val="00437793"/>
    <w:rsid w:val="00437E85"/>
    <w:rsid w:val="004414F1"/>
    <w:rsid w:val="00441870"/>
    <w:rsid w:val="004424D8"/>
    <w:rsid w:val="0044341D"/>
    <w:rsid w:val="004440CA"/>
    <w:rsid w:val="00444572"/>
    <w:rsid w:val="00444FD0"/>
    <w:rsid w:val="00445366"/>
    <w:rsid w:val="004457B6"/>
    <w:rsid w:val="00445D54"/>
    <w:rsid w:val="0044619E"/>
    <w:rsid w:val="00446373"/>
    <w:rsid w:val="004474EE"/>
    <w:rsid w:val="0044756E"/>
    <w:rsid w:val="004477B4"/>
    <w:rsid w:val="004479C7"/>
    <w:rsid w:val="00447F05"/>
    <w:rsid w:val="00447F5B"/>
    <w:rsid w:val="00450CE4"/>
    <w:rsid w:val="00452034"/>
    <w:rsid w:val="00452453"/>
    <w:rsid w:val="004528FA"/>
    <w:rsid w:val="0045358F"/>
    <w:rsid w:val="00455E1A"/>
    <w:rsid w:val="00456C3D"/>
    <w:rsid w:val="00456C67"/>
    <w:rsid w:val="004578A2"/>
    <w:rsid w:val="00457CC6"/>
    <w:rsid w:val="0046069B"/>
    <w:rsid w:val="0046081C"/>
    <w:rsid w:val="004612AA"/>
    <w:rsid w:val="00461DB0"/>
    <w:rsid w:val="004628E9"/>
    <w:rsid w:val="00462A4E"/>
    <w:rsid w:val="00463926"/>
    <w:rsid w:val="004646E0"/>
    <w:rsid w:val="00464906"/>
    <w:rsid w:val="00464C9A"/>
    <w:rsid w:val="0046607D"/>
    <w:rsid w:val="00466569"/>
    <w:rsid w:val="004671A6"/>
    <w:rsid w:val="004671C7"/>
    <w:rsid w:val="004674D4"/>
    <w:rsid w:val="00470135"/>
    <w:rsid w:val="00470726"/>
    <w:rsid w:val="0047072A"/>
    <w:rsid w:val="00470CBB"/>
    <w:rsid w:val="0047169B"/>
    <w:rsid w:val="004716D6"/>
    <w:rsid w:val="00471FBA"/>
    <w:rsid w:val="004720D0"/>
    <w:rsid w:val="0047216F"/>
    <w:rsid w:val="004728A2"/>
    <w:rsid w:val="00473460"/>
    <w:rsid w:val="0047368B"/>
    <w:rsid w:val="00473ED0"/>
    <w:rsid w:val="004742E9"/>
    <w:rsid w:val="00474D90"/>
    <w:rsid w:val="00474F3D"/>
    <w:rsid w:val="0047574F"/>
    <w:rsid w:val="00476307"/>
    <w:rsid w:val="00476CCC"/>
    <w:rsid w:val="00476E0F"/>
    <w:rsid w:val="00476EE2"/>
    <w:rsid w:val="00477DA4"/>
    <w:rsid w:val="00477E3A"/>
    <w:rsid w:val="00477FF0"/>
    <w:rsid w:val="0048054C"/>
    <w:rsid w:val="00481CBD"/>
    <w:rsid w:val="00481E05"/>
    <w:rsid w:val="00482252"/>
    <w:rsid w:val="004824F5"/>
    <w:rsid w:val="00482715"/>
    <w:rsid w:val="00482D16"/>
    <w:rsid w:val="004832BC"/>
    <w:rsid w:val="0048396C"/>
    <w:rsid w:val="00483B08"/>
    <w:rsid w:val="00483E38"/>
    <w:rsid w:val="00483E5F"/>
    <w:rsid w:val="0048450A"/>
    <w:rsid w:val="00484D1A"/>
    <w:rsid w:val="00484F4B"/>
    <w:rsid w:val="00485098"/>
    <w:rsid w:val="004858C8"/>
    <w:rsid w:val="00485A9F"/>
    <w:rsid w:val="00485BF1"/>
    <w:rsid w:val="00485C13"/>
    <w:rsid w:val="00485FF9"/>
    <w:rsid w:val="004867D5"/>
    <w:rsid w:val="0048734D"/>
    <w:rsid w:val="00487BB5"/>
    <w:rsid w:val="004907F0"/>
    <w:rsid w:val="00490F00"/>
    <w:rsid w:val="0049140B"/>
    <w:rsid w:val="00491934"/>
    <w:rsid w:val="004923A5"/>
    <w:rsid w:val="00492564"/>
    <w:rsid w:val="004933B2"/>
    <w:rsid w:val="004933EB"/>
    <w:rsid w:val="004943D5"/>
    <w:rsid w:val="00495F5C"/>
    <w:rsid w:val="0049622C"/>
    <w:rsid w:val="00496BFB"/>
    <w:rsid w:val="00496EBC"/>
    <w:rsid w:val="004973FF"/>
    <w:rsid w:val="00497880"/>
    <w:rsid w:val="004A0B46"/>
    <w:rsid w:val="004A15C7"/>
    <w:rsid w:val="004A166C"/>
    <w:rsid w:val="004A2128"/>
    <w:rsid w:val="004A2560"/>
    <w:rsid w:val="004A27D5"/>
    <w:rsid w:val="004A29A0"/>
    <w:rsid w:val="004A3132"/>
    <w:rsid w:val="004A43BA"/>
    <w:rsid w:val="004A56C3"/>
    <w:rsid w:val="004A575A"/>
    <w:rsid w:val="004A631A"/>
    <w:rsid w:val="004A63D5"/>
    <w:rsid w:val="004A735D"/>
    <w:rsid w:val="004A760E"/>
    <w:rsid w:val="004A76AD"/>
    <w:rsid w:val="004A79F7"/>
    <w:rsid w:val="004A7C82"/>
    <w:rsid w:val="004A7DD6"/>
    <w:rsid w:val="004B013B"/>
    <w:rsid w:val="004B112B"/>
    <w:rsid w:val="004B1613"/>
    <w:rsid w:val="004B3693"/>
    <w:rsid w:val="004B3900"/>
    <w:rsid w:val="004B545F"/>
    <w:rsid w:val="004B5EEA"/>
    <w:rsid w:val="004B6354"/>
    <w:rsid w:val="004B64D5"/>
    <w:rsid w:val="004B6761"/>
    <w:rsid w:val="004C01E4"/>
    <w:rsid w:val="004C03BE"/>
    <w:rsid w:val="004C05DC"/>
    <w:rsid w:val="004C07FE"/>
    <w:rsid w:val="004C086C"/>
    <w:rsid w:val="004C0E85"/>
    <w:rsid w:val="004C1F56"/>
    <w:rsid w:val="004C2797"/>
    <w:rsid w:val="004C27BC"/>
    <w:rsid w:val="004C30F5"/>
    <w:rsid w:val="004C36FE"/>
    <w:rsid w:val="004C4044"/>
    <w:rsid w:val="004C42EB"/>
    <w:rsid w:val="004C5551"/>
    <w:rsid w:val="004C74AE"/>
    <w:rsid w:val="004D03BE"/>
    <w:rsid w:val="004D0617"/>
    <w:rsid w:val="004D15F3"/>
    <w:rsid w:val="004D1A76"/>
    <w:rsid w:val="004D1E24"/>
    <w:rsid w:val="004D26F1"/>
    <w:rsid w:val="004D29D0"/>
    <w:rsid w:val="004D3D33"/>
    <w:rsid w:val="004D43C3"/>
    <w:rsid w:val="004D4CB8"/>
    <w:rsid w:val="004D5311"/>
    <w:rsid w:val="004D5439"/>
    <w:rsid w:val="004D5DCC"/>
    <w:rsid w:val="004D608B"/>
    <w:rsid w:val="004D6614"/>
    <w:rsid w:val="004D7411"/>
    <w:rsid w:val="004D7E31"/>
    <w:rsid w:val="004E0979"/>
    <w:rsid w:val="004E09C0"/>
    <w:rsid w:val="004E2071"/>
    <w:rsid w:val="004E2BD0"/>
    <w:rsid w:val="004E2D8F"/>
    <w:rsid w:val="004E364D"/>
    <w:rsid w:val="004E374C"/>
    <w:rsid w:val="004E377E"/>
    <w:rsid w:val="004E3801"/>
    <w:rsid w:val="004E404C"/>
    <w:rsid w:val="004E4721"/>
    <w:rsid w:val="004E4762"/>
    <w:rsid w:val="004E4AFD"/>
    <w:rsid w:val="004E4AFE"/>
    <w:rsid w:val="004E4E15"/>
    <w:rsid w:val="004E4E1F"/>
    <w:rsid w:val="004E513F"/>
    <w:rsid w:val="004E57D2"/>
    <w:rsid w:val="004E5A86"/>
    <w:rsid w:val="004E5D96"/>
    <w:rsid w:val="004E67E9"/>
    <w:rsid w:val="004E6D35"/>
    <w:rsid w:val="004E7E4D"/>
    <w:rsid w:val="004E7EBF"/>
    <w:rsid w:val="004F00A1"/>
    <w:rsid w:val="004F10AF"/>
    <w:rsid w:val="004F11A4"/>
    <w:rsid w:val="004F1293"/>
    <w:rsid w:val="004F2389"/>
    <w:rsid w:val="004F2928"/>
    <w:rsid w:val="004F29BB"/>
    <w:rsid w:val="004F29DD"/>
    <w:rsid w:val="004F304D"/>
    <w:rsid w:val="004F49C4"/>
    <w:rsid w:val="004F5913"/>
    <w:rsid w:val="004F5D9D"/>
    <w:rsid w:val="004F61BE"/>
    <w:rsid w:val="004F66B1"/>
    <w:rsid w:val="004F72CB"/>
    <w:rsid w:val="004F777D"/>
    <w:rsid w:val="0050070C"/>
    <w:rsid w:val="00501083"/>
    <w:rsid w:val="005013F2"/>
    <w:rsid w:val="00501FE5"/>
    <w:rsid w:val="005030C9"/>
    <w:rsid w:val="00504345"/>
    <w:rsid w:val="00504570"/>
    <w:rsid w:val="005053D1"/>
    <w:rsid w:val="00505A25"/>
    <w:rsid w:val="00506031"/>
    <w:rsid w:val="00506DAD"/>
    <w:rsid w:val="005100EC"/>
    <w:rsid w:val="00510171"/>
    <w:rsid w:val="00510BF0"/>
    <w:rsid w:val="00511438"/>
    <w:rsid w:val="00511BB4"/>
    <w:rsid w:val="00511C07"/>
    <w:rsid w:val="005122FE"/>
    <w:rsid w:val="0051238E"/>
    <w:rsid w:val="00512AA9"/>
    <w:rsid w:val="00513917"/>
    <w:rsid w:val="00514AA0"/>
    <w:rsid w:val="00514B61"/>
    <w:rsid w:val="005150BE"/>
    <w:rsid w:val="005150D4"/>
    <w:rsid w:val="00515369"/>
    <w:rsid w:val="00517338"/>
    <w:rsid w:val="005173A6"/>
    <w:rsid w:val="005179FD"/>
    <w:rsid w:val="00517C88"/>
    <w:rsid w:val="005202DF"/>
    <w:rsid w:val="00520302"/>
    <w:rsid w:val="00520979"/>
    <w:rsid w:val="00520BAA"/>
    <w:rsid w:val="00520CEC"/>
    <w:rsid w:val="00521314"/>
    <w:rsid w:val="0052189C"/>
    <w:rsid w:val="005221E8"/>
    <w:rsid w:val="0052227C"/>
    <w:rsid w:val="0052286E"/>
    <w:rsid w:val="00522E9E"/>
    <w:rsid w:val="00523CE7"/>
    <w:rsid w:val="00523F16"/>
    <w:rsid w:val="00524173"/>
    <w:rsid w:val="005242C1"/>
    <w:rsid w:val="005243F3"/>
    <w:rsid w:val="00524D5C"/>
    <w:rsid w:val="00524DA8"/>
    <w:rsid w:val="00525208"/>
    <w:rsid w:val="0052525D"/>
    <w:rsid w:val="005252DB"/>
    <w:rsid w:val="005252F9"/>
    <w:rsid w:val="00525676"/>
    <w:rsid w:val="005257A5"/>
    <w:rsid w:val="00525C99"/>
    <w:rsid w:val="005264C0"/>
    <w:rsid w:val="00526819"/>
    <w:rsid w:val="00526A8A"/>
    <w:rsid w:val="00527BB2"/>
    <w:rsid w:val="00527C0E"/>
    <w:rsid w:val="00530CAE"/>
    <w:rsid w:val="00531B12"/>
    <w:rsid w:val="00531DF2"/>
    <w:rsid w:val="0053212C"/>
    <w:rsid w:val="00532402"/>
    <w:rsid w:val="00532BA6"/>
    <w:rsid w:val="005333FF"/>
    <w:rsid w:val="00533712"/>
    <w:rsid w:val="00533B70"/>
    <w:rsid w:val="00533BD4"/>
    <w:rsid w:val="00534294"/>
    <w:rsid w:val="00534AD9"/>
    <w:rsid w:val="00534E72"/>
    <w:rsid w:val="0053552E"/>
    <w:rsid w:val="00535674"/>
    <w:rsid w:val="005356BB"/>
    <w:rsid w:val="00535C1F"/>
    <w:rsid w:val="00535C50"/>
    <w:rsid w:val="005365F7"/>
    <w:rsid w:val="00536AB7"/>
    <w:rsid w:val="00536BAA"/>
    <w:rsid w:val="00537007"/>
    <w:rsid w:val="00540476"/>
    <w:rsid w:val="00540F57"/>
    <w:rsid w:val="00541BC2"/>
    <w:rsid w:val="0054226A"/>
    <w:rsid w:val="0054283D"/>
    <w:rsid w:val="00542AB8"/>
    <w:rsid w:val="005433A2"/>
    <w:rsid w:val="00543847"/>
    <w:rsid w:val="00543FE0"/>
    <w:rsid w:val="005442EE"/>
    <w:rsid w:val="0054476D"/>
    <w:rsid w:val="00546C22"/>
    <w:rsid w:val="00547353"/>
    <w:rsid w:val="005474E7"/>
    <w:rsid w:val="005512A3"/>
    <w:rsid w:val="005513BC"/>
    <w:rsid w:val="005519B7"/>
    <w:rsid w:val="00551AEF"/>
    <w:rsid w:val="00551D1D"/>
    <w:rsid w:val="00552462"/>
    <w:rsid w:val="0055265C"/>
    <w:rsid w:val="00552A61"/>
    <w:rsid w:val="0055343E"/>
    <w:rsid w:val="0055391B"/>
    <w:rsid w:val="00553AEF"/>
    <w:rsid w:val="00554576"/>
    <w:rsid w:val="005547A2"/>
    <w:rsid w:val="005548C2"/>
    <w:rsid w:val="005549DA"/>
    <w:rsid w:val="005550B0"/>
    <w:rsid w:val="005552AD"/>
    <w:rsid w:val="00555D97"/>
    <w:rsid w:val="00556239"/>
    <w:rsid w:val="005563F1"/>
    <w:rsid w:val="00556456"/>
    <w:rsid w:val="005573CE"/>
    <w:rsid w:val="005578CE"/>
    <w:rsid w:val="00561AC4"/>
    <w:rsid w:val="00562781"/>
    <w:rsid w:val="00563964"/>
    <w:rsid w:val="00563E83"/>
    <w:rsid w:val="00563FA4"/>
    <w:rsid w:val="00564B7D"/>
    <w:rsid w:val="00564BF2"/>
    <w:rsid w:val="00565358"/>
    <w:rsid w:val="005659C5"/>
    <w:rsid w:val="00565E6C"/>
    <w:rsid w:val="00565F61"/>
    <w:rsid w:val="0056659D"/>
    <w:rsid w:val="005667ED"/>
    <w:rsid w:val="00567138"/>
    <w:rsid w:val="00567805"/>
    <w:rsid w:val="00567CF3"/>
    <w:rsid w:val="005707C7"/>
    <w:rsid w:val="00571562"/>
    <w:rsid w:val="0057271C"/>
    <w:rsid w:val="00572845"/>
    <w:rsid w:val="00572C97"/>
    <w:rsid w:val="00574C02"/>
    <w:rsid w:val="00574CBF"/>
    <w:rsid w:val="0057535E"/>
    <w:rsid w:val="0057562D"/>
    <w:rsid w:val="005757E0"/>
    <w:rsid w:val="00575A4B"/>
    <w:rsid w:val="00575E88"/>
    <w:rsid w:val="005764E5"/>
    <w:rsid w:val="00576C9A"/>
    <w:rsid w:val="00576D60"/>
    <w:rsid w:val="00577A0C"/>
    <w:rsid w:val="00577D56"/>
    <w:rsid w:val="0058004A"/>
    <w:rsid w:val="0058065A"/>
    <w:rsid w:val="005808A0"/>
    <w:rsid w:val="0058105E"/>
    <w:rsid w:val="005810AC"/>
    <w:rsid w:val="005812B5"/>
    <w:rsid w:val="00581FF9"/>
    <w:rsid w:val="00582093"/>
    <w:rsid w:val="005821A8"/>
    <w:rsid w:val="005825FD"/>
    <w:rsid w:val="00582A3F"/>
    <w:rsid w:val="00582F69"/>
    <w:rsid w:val="0058309D"/>
    <w:rsid w:val="005834E5"/>
    <w:rsid w:val="00583633"/>
    <w:rsid w:val="00583E68"/>
    <w:rsid w:val="00584129"/>
    <w:rsid w:val="0058510B"/>
    <w:rsid w:val="0058597B"/>
    <w:rsid w:val="00585CAD"/>
    <w:rsid w:val="005860FA"/>
    <w:rsid w:val="005865FD"/>
    <w:rsid w:val="00586B77"/>
    <w:rsid w:val="0058719B"/>
    <w:rsid w:val="00587DCF"/>
    <w:rsid w:val="005901F4"/>
    <w:rsid w:val="00590948"/>
    <w:rsid w:val="0059181D"/>
    <w:rsid w:val="00591B8B"/>
    <w:rsid w:val="00591D79"/>
    <w:rsid w:val="005920F7"/>
    <w:rsid w:val="00592297"/>
    <w:rsid w:val="00592772"/>
    <w:rsid w:val="00592940"/>
    <w:rsid w:val="00592D8E"/>
    <w:rsid w:val="00593AEE"/>
    <w:rsid w:val="005940C5"/>
    <w:rsid w:val="0059467F"/>
    <w:rsid w:val="00594F94"/>
    <w:rsid w:val="005952E6"/>
    <w:rsid w:val="0059574A"/>
    <w:rsid w:val="00596C08"/>
    <w:rsid w:val="00596F4E"/>
    <w:rsid w:val="005A012D"/>
    <w:rsid w:val="005A0907"/>
    <w:rsid w:val="005A0DAB"/>
    <w:rsid w:val="005A105F"/>
    <w:rsid w:val="005A1B9B"/>
    <w:rsid w:val="005A2671"/>
    <w:rsid w:val="005A2A09"/>
    <w:rsid w:val="005A2A86"/>
    <w:rsid w:val="005A2AB4"/>
    <w:rsid w:val="005A4324"/>
    <w:rsid w:val="005A44A7"/>
    <w:rsid w:val="005A46AE"/>
    <w:rsid w:val="005A4F2F"/>
    <w:rsid w:val="005A5CAE"/>
    <w:rsid w:val="005A606D"/>
    <w:rsid w:val="005A6751"/>
    <w:rsid w:val="005B0127"/>
    <w:rsid w:val="005B063D"/>
    <w:rsid w:val="005B092E"/>
    <w:rsid w:val="005B152C"/>
    <w:rsid w:val="005B1920"/>
    <w:rsid w:val="005B1E06"/>
    <w:rsid w:val="005B1EE0"/>
    <w:rsid w:val="005B1F7B"/>
    <w:rsid w:val="005B28AB"/>
    <w:rsid w:val="005B2B24"/>
    <w:rsid w:val="005B4425"/>
    <w:rsid w:val="005B47CC"/>
    <w:rsid w:val="005B4B94"/>
    <w:rsid w:val="005B5363"/>
    <w:rsid w:val="005B53DC"/>
    <w:rsid w:val="005B638D"/>
    <w:rsid w:val="005B63CE"/>
    <w:rsid w:val="005B6700"/>
    <w:rsid w:val="005B76BD"/>
    <w:rsid w:val="005B7FC3"/>
    <w:rsid w:val="005C09BA"/>
    <w:rsid w:val="005C1005"/>
    <w:rsid w:val="005C1904"/>
    <w:rsid w:val="005C1AA3"/>
    <w:rsid w:val="005C1CF4"/>
    <w:rsid w:val="005C270D"/>
    <w:rsid w:val="005C2DAB"/>
    <w:rsid w:val="005C3E8E"/>
    <w:rsid w:val="005C3EE8"/>
    <w:rsid w:val="005C4FC9"/>
    <w:rsid w:val="005C4FFC"/>
    <w:rsid w:val="005C50CD"/>
    <w:rsid w:val="005C6AFB"/>
    <w:rsid w:val="005C747A"/>
    <w:rsid w:val="005C7691"/>
    <w:rsid w:val="005C7D78"/>
    <w:rsid w:val="005D1DE8"/>
    <w:rsid w:val="005D2871"/>
    <w:rsid w:val="005D2DAC"/>
    <w:rsid w:val="005D2F68"/>
    <w:rsid w:val="005D344C"/>
    <w:rsid w:val="005D34F9"/>
    <w:rsid w:val="005D3755"/>
    <w:rsid w:val="005D4190"/>
    <w:rsid w:val="005D60EA"/>
    <w:rsid w:val="005D6252"/>
    <w:rsid w:val="005D67A3"/>
    <w:rsid w:val="005D72DC"/>
    <w:rsid w:val="005E0229"/>
    <w:rsid w:val="005E0E0E"/>
    <w:rsid w:val="005E1172"/>
    <w:rsid w:val="005E2013"/>
    <w:rsid w:val="005E2537"/>
    <w:rsid w:val="005E2988"/>
    <w:rsid w:val="005E2A43"/>
    <w:rsid w:val="005E3085"/>
    <w:rsid w:val="005E3F06"/>
    <w:rsid w:val="005E4082"/>
    <w:rsid w:val="005E438A"/>
    <w:rsid w:val="005E4BF8"/>
    <w:rsid w:val="005E6501"/>
    <w:rsid w:val="005E7107"/>
    <w:rsid w:val="005E71DD"/>
    <w:rsid w:val="005E7933"/>
    <w:rsid w:val="005E79EE"/>
    <w:rsid w:val="005F09A4"/>
    <w:rsid w:val="005F09E8"/>
    <w:rsid w:val="005F0FD2"/>
    <w:rsid w:val="005F12F6"/>
    <w:rsid w:val="005F16AF"/>
    <w:rsid w:val="005F1821"/>
    <w:rsid w:val="005F2431"/>
    <w:rsid w:val="005F24EB"/>
    <w:rsid w:val="005F2C4B"/>
    <w:rsid w:val="005F2DB0"/>
    <w:rsid w:val="005F328B"/>
    <w:rsid w:val="005F35A1"/>
    <w:rsid w:val="005F389B"/>
    <w:rsid w:val="005F3971"/>
    <w:rsid w:val="005F4834"/>
    <w:rsid w:val="005F485F"/>
    <w:rsid w:val="005F4B55"/>
    <w:rsid w:val="005F4E18"/>
    <w:rsid w:val="005F4F0C"/>
    <w:rsid w:val="005F4FC4"/>
    <w:rsid w:val="005F51E1"/>
    <w:rsid w:val="005F5589"/>
    <w:rsid w:val="005F5EDA"/>
    <w:rsid w:val="005F759F"/>
    <w:rsid w:val="005F7EF0"/>
    <w:rsid w:val="00600A09"/>
    <w:rsid w:val="006017D4"/>
    <w:rsid w:val="00601CEB"/>
    <w:rsid w:val="00603935"/>
    <w:rsid w:val="00603C55"/>
    <w:rsid w:val="00604312"/>
    <w:rsid w:val="0060440D"/>
    <w:rsid w:val="00604659"/>
    <w:rsid w:val="00605298"/>
    <w:rsid w:val="00605927"/>
    <w:rsid w:val="0060640B"/>
    <w:rsid w:val="006064E5"/>
    <w:rsid w:val="00607000"/>
    <w:rsid w:val="00607544"/>
    <w:rsid w:val="006075A9"/>
    <w:rsid w:val="00607719"/>
    <w:rsid w:val="0060775C"/>
    <w:rsid w:val="00607F74"/>
    <w:rsid w:val="00607FAF"/>
    <w:rsid w:val="006102E4"/>
    <w:rsid w:val="006105B3"/>
    <w:rsid w:val="00610A92"/>
    <w:rsid w:val="006110CB"/>
    <w:rsid w:val="006112C6"/>
    <w:rsid w:val="00611C01"/>
    <w:rsid w:val="00611C80"/>
    <w:rsid w:val="00612F5D"/>
    <w:rsid w:val="00614333"/>
    <w:rsid w:val="00615104"/>
    <w:rsid w:val="006166DB"/>
    <w:rsid w:val="00616B1D"/>
    <w:rsid w:val="00617D6D"/>
    <w:rsid w:val="006200A0"/>
    <w:rsid w:val="00620692"/>
    <w:rsid w:val="006208A2"/>
    <w:rsid w:val="00621B2A"/>
    <w:rsid w:val="006224D8"/>
    <w:rsid w:val="006230BE"/>
    <w:rsid w:val="006230C8"/>
    <w:rsid w:val="0062329C"/>
    <w:rsid w:val="006242CA"/>
    <w:rsid w:val="006243B4"/>
    <w:rsid w:val="0062451D"/>
    <w:rsid w:val="00624B6B"/>
    <w:rsid w:val="00624E90"/>
    <w:rsid w:val="00627124"/>
    <w:rsid w:val="0062717C"/>
    <w:rsid w:val="0062741F"/>
    <w:rsid w:val="00627507"/>
    <w:rsid w:val="00627B25"/>
    <w:rsid w:val="00627DFF"/>
    <w:rsid w:val="00630228"/>
    <w:rsid w:val="00631501"/>
    <w:rsid w:val="006320EB"/>
    <w:rsid w:val="00632B89"/>
    <w:rsid w:val="00632EC3"/>
    <w:rsid w:val="00633199"/>
    <w:rsid w:val="00633717"/>
    <w:rsid w:val="006344E1"/>
    <w:rsid w:val="00634851"/>
    <w:rsid w:val="00634C01"/>
    <w:rsid w:val="00634E1B"/>
    <w:rsid w:val="00634FD8"/>
    <w:rsid w:val="0063609C"/>
    <w:rsid w:val="0063688C"/>
    <w:rsid w:val="00636C5E"/>
    <w:rsid w:val="00637218"/>
    <w:rsid w:val="00637258"/>
    <w:rsid w:val="00637790"/>
    <w:rsid w:val="00637D89"/>
    <w:rsid w:val="00637FA5"/>
    <w:rsid w:val="006403C6"/>
    <w:rsid w:val="00640D41"/>
    <w:rsid w:val="006411C5"/>
    <w:rsid w:val="00641669"/>
    <w:rsid w:val="006418EC"/>
    <w:rsid w:val="00641B7F"/>
    <w:rsid w:val="00641EB7"/>
    <w:rsid w:val="00642283"/>
    <w:rsid w:val="006437C9"/>
    <w:rsid w:val="00643F6A"/>
    <w:rsid w:val="006448D3"/>
    <w:rsid w:val="006459EE"/>
    <w:rsid w:val="00645ACD"/>
    <w:rsid w:val="00645AFD"/>
    <w:rsid w:val="00645FCF"/>
    <w:rsid w:val="00646306"/>
    <w:rsid w:val="0064630E"/>
    <w:rsid w:val="00647933"/>
    <w:rsid w:val="00647D81"/>
    <w:rsid w:val="00647FA6"/>
    <w:rsid w:val="0065011F"/>
    <w:rsid w:val="006504F7"/>
    <w:rsid w:val="00651B29"/>
    <w:rsid w:val="0065311F"/>
    <w:rsid w:val="006538EF"/>
    <w:rsid w:val="0065392C"/>
    <w:rsid w:val="006545C4"/>
    <w:rsid w:val="006547DC"/>
    <w:rsid w:val="00654BD1"/>
    <w:rsid w:val="00654E61"/>
    <w:rsid w:val="006565E9"/>
    <w:rsid w:val="0065777A"/>
    <w:rsid w:val="0065789F"/>
    <w:rsid w:val="006578B2"/>
    <w:rsid w:val="00660494"/>
    <w:rsid w:val="006608BF"/>
    <w:rsid w:val="00660D21"/>
    <w:rsid w:val="00661225"/>
    <w:rsid w:val="00661937"/>
    <w:rsid w:val="00661971"/>
    <w:rsid w:val="00661CE8"/>
    <w:rsid w:val="006623D9"/>
    <w:rsid w:val="006624F7"/>
    <w:rsid w:val="00662911"/>
    <w:rsid w:val="006633C9"/>
    <w:rsid w:val="006633F1"/>
    <w:rsid w:val="0066550C"/>
    <w:rsid w:val="006665E7"/>
    <w:rsid w:val="00666827"/>
    <w:rsid w:val="00667A1F"/>
    <w:rsid w:val="00667D1E"/>
    <w:rsid w:val="00667FCE"/>
    <w:rsid w:val="0067067B"/>
    <w:rsid w:val="00670C05"/>
    <w:rsid w:val="006716F2"/>
    <w:rsid w:val="006722E0"/>
    <w:rsid w:val="0067252E"/>
    <w:rsid w:val="006725BF"/>
    <w:rsid w:val="006726F4"/>
    <w:rsid w:val="00672ECF"/>
    <w:rsid w:val="006730EF"/>
    <w:rsid w:val="006730F4"/>
    <w:rsid w:val="00673F62"/>
    <w:rsid w:val="00675145"/>
    <w:rsid w:val="0067534E"/>
    <w:rsid w:val="00675B44"/>
    <w:rsid w:val="00675C35"/>
    <w:rsid w:val="00675E36"/>
    <w:rsid w:val="0067621A"/>
    <w:rsid w:val="00677C2F"/>
    <w:rsid w:val="00677F64"/>
    <w:rsid w:val="0068057F"/>
    <w:rsid w:val="00680758"/>
    <w:rsid w:val="0068121E"/>
    <w:rsid w:val="00681660"/>
    <w:rsid w:val="006818AE"/>
    <w:rsid w:val="006821B6"/>
    <w:rsid w:val="0068254B"/>
    <w:rsid w:val="006826B7"/>
    <w:rsid w:val="00682BF2"/>
    <w:rsid w:val="0068419B"/>
    <w:rsid w:val="00684BC3"/>
    <w:rsid w:val="0068561C"/>
    <w:rsid w:val="006859CE"/>
    <w:rsid w:val="006866CB"/>
    <w:rsid w:val="00687287"/>
    <w:rsid w:val="0068729F"/>
    <w:rsid w:val="00687C0E"/>
    <w:rsid w:val="00687D5C"/>
    <w:rsid w:val="00687D7C"/>
    <w:rsid w:val="0069081D"/>
    <w:rsid w:val="006911B7"/>
    <w:rsid w:val="00691270"/>
    <w:rsid w:val="00691551"/>
    <w:rsid w:val="00691762"/>
    <w:rsid w:val="006925DA"/>
    <w:rsid w:val="00693330"/>
    <w:rsid w:val="00693B17"/>
    <w:rsid w:val="00693B6E"/>
    <w:rsid w:val="00694BA8"/>
    <w:rsid w:val="00695157"/>
    <w:rsid w:val="00695755"/>
    <w:rsid w:val="00695E94"/>
    <w:rsid w:val="00695EFD"/>
    <w:rsid w:val="006968CF"/>
    <w:rsid w:val="00696A3A"/>
    <w:rsid w:val="00696D98"/>
    <w:rsid w:val="00696FBB"/>
    <w:rsid w:val="00697539"/>
    <w:rsid w:val="00697675"/>
    <w:rsid w:val="00697B22"/>
    <w:rsid w:val="00697C4D"/>
    <w:rsid w:val="006A037C"/>
    <w:rsid w:val="006A06BF"/>
    <w:rsid w:val="006A11A0"/>
    <w:rsid w:val="006A121B"/>
    <w:rsid w:val="006A1568"/>
    <w:rsid w:val="006A1C46"/>
    <w:rsid w:val="006A28FA"/>
    <w:rsid w:val="006A2A3A"/>
    <w:rsid w:val="006A2A7E"/>
    <w:rsid w:val="006A2B74"/>
    <w:rsid w:val="006A2F00"/>
    <w:rsid w:val="006A2FD1"/>
    <w:rsid w:val="006A3346"/>
    <w:rsid w:val="006A341D"/>
    <w:rsid w:val="006A36F4"/>
    <w:rsid w:val="006A3DE6"/>
    <w:rsid w:val="006A406F"/>
    <w:rsid w:val="006A44BB"/>
    <w:rsid w:val="006A4BD7"/>
    <w:rsid w:val="006A4F8D"/>
    <w:rsid w:val="006A5D3A"/>
    <w:rsid w:val="006A6C32"/>
    <w:rsid w:val="006A7530"/>
    <w:rsid w:val="006A7645"/>
    <w:rsid w:val="006B041F"/>
    <w:rsid w:val="006B05DB"/>
    <w:rsid w:val="006B0A60"/>
    <w:rsid w:val="006B12BC"/>
    <w:rsid w:val="006B1437"/>
    <w:rsid w:val="006B2178"/>
    <w:rsid w:val="006B3333"/>
    <w:rsid w:val="006B37FF"/>
    <w:rsid w:val="006B4B4A"/>
    <w:rsid w:val="006B4E6B"/>
    <w:rsid w:val="006B5670"/>
    <w:rsid w:val="006B5CB9"/>
    <w:rsid w:val="006B63AE"/>
    <w:rsid w:val="006B64CA"/>
    <w:rsid w:val="006B719A"/>
    <w:rsid w:val="006B73BA"/>
    <w:rsid w:val="006B7950"/>
    <w:rsid w:val="006B7AEA"/>
    <w:rsid w:val="006C02DF"/>
    <w:rsid w:val="006C0A28"/>
    <w:rsid w:val="006C0A4D"/>
    <w:rsid w:val="006C0F22"/>
    <w:rsid w:val="006C1F3C"/>
    <w:rsid w:val="006C1FB0"/>
    <w:rsid w:val="006C238A"/>
    <w:rsid w:val="006C23D4"/>
    <w:rsid w:val="006C2995"/>
    <w:rsid w:val="006C351E"/>
    <w:rsid w:val="006C3561"/>
    <w:rsid w:val="006C5753"/>
    <w:rsid w:val="006C59DE"/>
    <w:rsid w:val="006C74C8"/>
    <w:rsid w:val="006C7BB0"/>
    <w:rsid w:val="006D0A0B"/>
    <w:rsid w:val="006D1201"/>
    <w:rsid w:val="006D17E9"/>
    <w:rsid w:val="006D1855"/>
    <w:rsid w:val="006D1F9C"/>
    <w:rsid w:val="006D2BE3"/>
    <w:rsid w:val="006D3237"/>
    <w:rsid w:val="006D3898"/>
    <w:rsid w:val="006D3D58"/>
    <w:rsid w:val="006D4543"/>
    <w:rsid w:val="006D50C4"/>
    <w:rsid w:val="006D5C0C"/>
    <w:rsid w:val="006D6675"/>
    <w:rsid w:val="006D6E8A"/>
    <w:rsid w:val="006D7782"/>
    <w:rsid w:val="006D7A77"/>
    <w:rsid w:val="006E0F7C"/>
    <w:rsid w:val="006E17AD"/>
    <w:rsid w:val="006E1865"/>
    <w:rsid w:val="006E1F56"/>
    <w:rsid w:val="006E2706"/>
    <w:rsid w:val="006E284D"/>
    <w:rsid w:val="006E2E37"/>
    <w:rsid w:val="006E3C40"/>
    <w:rsid w:val="006E3CF1"/>
    <w:rsid w:val="006E512F"/>
    <w:rsid w:val="006E551C"/>
    <w:rsid w:val="006E56F0"/>
    <w:rsid w:val="006E598E"/>
    <w:rsid w:val="006E5A40"/>
    <w:rsid w:val="006E7E80"/>
    <w:rsid w:val="006F096C"/>
    <w:rsid w:val="006F0DD4"/>
    <w:rsid w:val="006F187C"/>
    <w:rsid w:val="006F1C0B"/>
    <w:rsid w:val="006F1DF9"/>
    <w:rsid w:val="006F1F57"/>
    <w:rsid w:val="006F2456"/>
    <w:rsid w:val="006F24DB"/>
    <w:rsid w:val="006F2B49"/>
    <w:rsid w:val="006F2CB4"/>
    <w:rsid w:val="006F448C"/>
    <w:rsid w:val="006F48CA"/>
    <w:rsid w:val="006F6308"/>
    <w:rsid w:val="006F64DD"/>
    <w:rsid w:val="006F6519"/>
    <w:rsid w:val="006F6AF2"/>
    <w:rsid w:val="006F706F"/>
    <w:rsid w:val="007001A3"/>
    <w:rsid w:val="00700893"/>
    <w:rsid w:val="00700C8C"/>
    <w:rsid w:val="0070124E"/>
    <w:rsid w:val="00701371"/>
    <w:rsid w:val="00701E51"/>
    <w:rsid w:val="00701FE4"/>
    <w:rsid w:val="00702064"/>
    <w:rsid w:val="007020AB"/>
    <w:rsid w:val="00702489"/>
    <w:rsid w:val="00702B57"/>
    <w:rsid w:val="00702EE8"/>
    <w:rsid w:val="00703548"/>
    <w:rsid w:val="0070359E"/>
    <w:rsid w:val="00703E05"/>
    <w:rsid w:val="007057B7"/>
    <w:rsid w:val="007072DB"/>
    <w:rsid w:val="00707D24"/>
    <w:rsid w:val="00710480"/>
    <w:rsid w:val="00710955"/>
    <w:rsid w:val="0071166C"/>
    <w:rsid w:val="0071180B"/>
    <w:rsid w:val="0071231E"/>
    <w:rsid w:val="00713639"/>
    <w:rsid w:val="00713979"/>
    <w:rsid w:val="007143FE"/>
    <w:rsid w:val="007144BF"/>
    <w:rsid w:val="00714FDD"/>
    <w:rsid w:val="00715114"/>
    <w:rsid w:val="00715127"/>
    <w:rsid w:val="0071521B"/>
    <w:rsid w:val="00715ACA"/>
    <w:rsid w:val="00715E8E"/>
    <w:rsid w:val="007161CE"/>
    <w:rsid w:val="007170CE"/>
    <w:rsid w:val="007171DA"/>
    <w:rsid w:val="00720041"/>
    <w:rsid w:val="00721079"/>
    <w:rsid w:val="00721116"/>
    <w:rsid w:val="00721334"/>
    <w:rsid w:val="0072133A"/>
    <w:rsid w:val="00721B13"/>
    <w:rsid w:val="00721CF7"/>
    <w:rsid w:val="00721F0C"/>
    <w:rsid w:val="007232F1"/>
    <w:rsid w:val="00723361"/>
    <w:rsid w:val="00723580"/>
    <w:rsid w:val="00723755"/>
    <w:rsid w:val="00723B6E"/>
    <w:rsid w:val="0072405F"/>
    <w:rsid w:val="0072416F"/>
    <w:rsid w:val="00725D9D"/>
    <w:rsid w:val="00725F15"/>
    <w:rsid w:val="0072685D"/>
    <w:rsid w:val="00726CBA"/>
    <w:rsid w:val="00727B59"/>
    <w:rsid w:val="00730261"/>
    <w:rsid w:val="007306D5"/>
    <w:rsid w:val="00730DCB"/>
    <w:rsid w:val="0073136C"/>
    <w:rsid w:val="00731D08"/>
    <w:rsid w:val="00731F0A"/>
    <w:rsid w:val="00731F0F"/>
    <w:rsid w:val="00732472"/>
    <w:rsid w:val="00732C91"/>
    <w:rsid w:val="00733250"/>
    <w:rsid w:val="00733E89"/>
    <w:rsid w:val="0073462C"/>
    <w:rsid w:val="007358DC"/>
    <w:rsid w:val="00735954"/>
    <w:rsid w:val="00735FD1"/>
    <w:rsid w:val="007366A0"/>
    <w:rsid w:val="00736EF8"/>
    <w:rsid w:val="0073754D"/>
    <w:rsid w:val="00737D83"/>
    <w:rsid w:val="00737DD7"/>
    <w:rsid w:val="00740C42"/>
    <w:rsid w:val="00741404"/>
    <w:rsid w:val="007414DA"/>
    <w:rsid w:val="00741CC2"/>
    <w:rsid w:val="00742AA1"/>
    <w:rsid w:val="00742F22"/>
    <w:rsid w:val="0074369A"/>
    <w:rsid w:val="00743912"/>
    <w:rsid w:val="00743CE6"/>
    <w:rsid w:val="0074435E"/>
    <w:rsid w:val="00744502"/>
    <w:rsid w:val="007449E5"/>
    <w:rsid w:val="00744BAF"/>
    <w:rsid w:val="0074546E"/>
    <w:rsid w:val="00745C41"/>
    <w:rsid w:val="00746C5A"/>
    <w:rsid w:val="00746C64"/>
    <w:rsid w:val="00747565"/>
    <w:rsid w:val="00747CA2"/>
    <w:rsid w:val="00747FF0"/>
    <w:rsid w:val="00750FA2"/>
    <w:rsid w:val="00752C9D"/>
    <w:rsid w:val="007535F2"/>
    <w:rsid w:val="0075364F"/>
    <w:rsid w:val="00753C92"/>
    <w:rsid w:val="007553C1"/>
    <w:rsid w:val="00755D65"/>
    <w:rsid w:val="00755F67"/>
    <w:rsid w:val="00756799"/>
    <w:rsid w:val="00756EB0"/>
    <w:rsid w:val="00756F85"/>
    <w:rsid w:val="00757512"/>
    <w:rsid w:val="007578FE"/>
    <w:rsid w:val="00757D12"/>
    <w:rsid w:val="00760490"/>
    <w:rsid w:val="007612A7"/>
    <w:rsid w:val="00761499"/>
    <w:rsid w:val="007617C7"/>
    <w:rsid w:val="00762D02"/>
    <w:rsid w:val="00763B77"/>
    <w:rsid w:val="0076429A"/>
    <w:rsid w:val="00764D4E"/>
    <w:rsid w:val="00764E10"/>
    <w:rsid w:val="00764E99"/>
    <w:rsid w:val="00765A1F"/>
    <w:rsid w:val="00765B1E"/>
    <w:rsid w:val="00765DA8"/>
    <w:rsid w:val="007668F8"/>
    <w:rsid w:val="00766DD0"/>
    <w:rsid w:val="007701CD"/>
    <w:rsid w:val="00770453"/>
    <w:rsid w:val="007715C8"/>
    <w:rsid w:val="007717F9"/>
    <w:rsid w:val="00771942"/>
    <w:rsid w:val="0077198C"/>
    <w:rsid w:val="007719E1"/>
    <w:rsid w:val="00771CE7"/>
    <w:rsid w:val="00772D8A"/>
    <w:rsid w:val="007742C9"/>
    <w:rsid w:val="007746B4"/>
    <w:rsid w:val="0077485E"/>
    <w:rsid w:val="007749B2"/>
    <w:rsid w:val="00774E92"/>
    <w:rsid w:val="00774EA3"/>
    <w:rsid w:val="007755E5"/>
    <w:rsid w:val="00775A1C"/>
    <w:rsid w:val="00775A4A"/>
    <w:rsid w:val="00775B6D"/>
    <w:rsid w:val="00775BC8"/>
    <w:rsid w:val="00776D68"/>
    <w:rsid w:val="00781007"/>
    <w:rsid w:val="007810EC"/>
    <w:rsid w:val="007820EE"/>
    <w:rsid w:val="00782517"/>
    <w:rsid w:val="00782B63"/>
    <w:rsid w:val="00782BA0"/>
    <w:rsid w:val="007834B3"/>
    <w:rsid w:val="00783E03"/>
    <w:rsid w:val="00784347"/>
    <w:rsid w:val="00784A6B"/>
    <w:rsid w:val="007850EE"/>
    <w:rsid w:val="007852AD"/>
    <w:rsid w:val="00785385"/>
    <w:rsid w:val="00785546"/>
    <w:rsid w:val="00785B95"/>
    <w:rsid w:val="00786709"/>
    <w:rsid w:val="00787707"/>
    <w:rsid w:val="007906EA"/>
    <w:rsid w:val="00790A56"/>
    <w:rsid w:val="00790E96"/>
    <w:rsid w:val="00791197"/>
    <w:rsid w:val="0079124A"/>
    <w:rsid w:val="00791372"/>
    <w:rsid w:val="0079245C"/>
    <w:rsid w:val="0079263C"/>
    <w:rsid w:val="0079290B"/>
    <w:rsid w:val="00793366"/>
    <w:rsid w:val="007938CA"/>
    <w:rsid w:val="00793C5D"/>
    <w:rsid w:val="00793D01"/>
    <w:rsid w:val="00795482"/>
    <w:rsid w:val="00795892"/>
    <w:rsid w:val="00795B19"/>
    <w:rsid w:val="00795B23"/>
    <w:rsid w:val="00796AF8"/>
    <w:rsid w:val="00797C01"/>
    <w:rsid w:val="00797C32"/>
    <w:rsid w:val="007A0634"/>
    <w:rsid w:val="007A086E"/>
    <w:rsid w:val="007A0FE1"/>
    <w:rsid w:val="007A1406"/>
    <w:rsid w:val="007A2D0A"/>
    <w:rsid w:val="007A36A5"/>
    <w:rsid w:val="007A3B1A"/>
    <w:rsid w:val="007A4062"/>
    <w:rsid w:val="007A4874"/>
    <w:rsid w:val="007A48EF"/>
    <w:rsid w:val="007A4C70"/>
    <w:rsid w:val="007A4D65"/>
    <w:rsid w:val="007A4E0E"/>
    <w:rsid w:val="007A5C0A"/>
    <w:rsid w:val="007A60FE"/>
    <w:rsid w:val="007A716F"/>
    <w:rsid w:val="007A7512"/>
    <w:rsid w:val="007B00B4"/>
    <w:rsid w:val="007B076B"/>
    <w:rsid w:val="007B0C14"/>
    <w:rsid w:val="007B1DC1"/>
    <w:rsid w:val="007B270A"/>
    <w:rsid w:val="007B2D41"/>
    <w:rsid w:val="007B407A"/>
    <w:rsid w:val="007B47A0"/>
    <w:rsid w:val="007B5310"/>
    <w:rsid w:val="007B5503"/>
    <w:rsid w:val="007B5CCC"/>
    <w:rsid w:val="007B6D60"/>
    <w:rsid w:val="007B787B"/>
    <w:rsid w:val="007B7C25"/>
    <w:rsid w:val="007C0695"/>
    <w:rsid w:val="007C06EC"/>
    <w:rsid w:val="007C0988"/>
    <w:rsid w:val="007C1237"/>
    <w:rsid w:val="007C1326"/>
    <w:rsid w:val="007C1352"/>
    <w:rsid w:val="007C180E"/>
    <w:rsid w:val="007C1BCF"/>
    <w:rsid w:val="007C220D"/>
    <w:rsid w:val="007C2219"/>
    <w:rsid w:val="007C222C"/>
    <w:rsid w:val="007C2262"/>
    <w:rsid w:val="007C2DDB"/>
    <w:rsid w:val="007C32F1"/>
    <w:rsid w:val="007C3953"/>
    <w:rsid w:val="007C419A"/>
    <w:rsid w:val="007C4205"/>
    <w:rsid w:val="007C44FE"/>
    <w:rsid w:val="007C4CC8"/>
    <w:rsid w:val="007C519C"/>
    <w:rsid w:val="007C5426"/>
    <w:rsid w:val="007C5601"/>
    <w:rsid w:val="007C5798"/>
    <w:rsid w:val="007C59EC"/>
    <w:rsid w:val="007C5A61"/>
    <w:rsid w:val="007C7128"/>
    <w:rsid w:val="007D0385"/>
    <w:rsid w:val="007D1270"/>
    <w:rsid w:val="007D211A"/>
    <w:rsid w:val="007D2BEC"/>
    <w:rsid w:val="007D3832"/>
    <w:rsid w:val="007D3F07"/>
    <w:rsid w:val="007D4205"/>
    <w:rsid w:val="007D4832"/>
    <w:rsid w:val="007D4A4E"/>
    <w:rsid w:val="007D5E55"/>
    <w:rsid w:val="007D7336"/>
    <w:rsid w:val="007D78B9"/>
    <w:rsid w:val="007E1559"/>
    <w:rsid w:val="007E1E29"/>
    <w:rsid w:val="007E1F5B"/>
    <w:rsid w:val="007E21B2"/>
    <w:rsid w:val="007E2C4E"/>
    <w:rsid w:val="007E3786"/>
    <w:rsid w:val="007E410A"/>
    <w:rsid w:val="007E45D9"/>
    <w:rsid w:val="007E603E"/>
    <w:rsid w:val="007E6392"/>
    <w:rsid w:val="007E6B8B"/>
    <w:rsid w:val="007E6BC0"/>
    <w:rsid w:val="007E74F7"/>
    <w:rsid w:val="007E75CE"/>
    <w:rsid w:val="007E7E87"/>
    <w:rsid w:val="007F0CFE"/>
    <w:rsid w:val="007F0D16"/>
    <w:rsid w:val="007F1905"/>
    <w:rsid w:val="007F1A75"/>
    <w:rsid w:val="007F207F"/>
    <w:rsid w:val="007F25DD"/>
    <w:rsid w:val="007F2D9E"/>
    <w:rsid w:val="007F33CC"/>
    <w:rsid w:val="007F40D6"/>
    <w:rsid w:val="007F452A"/>
    <w:rsid w:val="007F6459"/>
    <w:rsid w:val="007F6A62"/>
    <w:rsid w:val="008000C4"/>
    <w:rsid w:val="008000E5"/>
    <w:rsid w:val="008004BF"/>
    <w:rsid w:val="00800B55"/>
    <w:rsid w:val="00801279"/>
    <w:rsid w:val="00801300"/>
    <w:rsid w:val="008024CC"/>
    <w:rsid w:val="00802699"/>
    <w:rsid w:val="008029F3"/>
    <w:rsid w:val="00802C64"/>
    <w:rsid w:val="00803121"/>
    <w:rsid w:val="00803322"/>
    <w:rsid w:val="008036EB"/>
    <w:rsid w:val="008042DB"/>
    <w:rsid w:val="00804315"/>
    <w:rsid w:val="00804331"/>
    <w:rsid w:val="008049C7"/>
    <w:rsid w:val="00804ADD"/>
    <w:rsid w:val="00805CF6"/>
    <w:rsid w:val="00805E52"/>
    <w:rsid w:val="00805EED"/>
    <w:rsid w:val="0080619F"/>
    <w:rsid w:val="008061D0"/>
    <w:rsid w:val="008067D7"/>
    <w:rsid w:val="008069F5"/>
    <w:rsid w:val="00807537"/>
    <w:rsid w:val="00807D28"/>
    <w:rsid w:val="00810B38"/>
    <w:rsid w:val="00810CA4"/>
    <w:rsid w:val="008113DC"/>
    <w:rsid w:val="008116BC"/>
    <w:rsid w:val="00812515"/>
    <w:rsid w:val="00812D40"/>
    <w:rsid w:val="00812F33"/>
    <w:rsid w:val="00813316"/>
    <w:rsid w:val="00813519"/>
    <w:rsid w:val="008137CD"/>
    <w:rsid w:val="00813C1C"/>
    <w:rsid w:val="00813D6F"/>
    <w:rsid w:val="008142C4"/>
    <w:rsid w:val="00814422"/>
    <w:rsid w:val="00814463"/>
    <w:rsid w:val="0081482D"/>
    <w:rsid w:val="00814D45"/>
    <w:rsid w:val="00815007"/>
    <w:rsid w:val="0081526E"/>
    <w:rsid w:val="00815962"/>
    <w:rsid w:val="00816242"/>
    <w:rsid w:val="00816B17"/>
    <w:rsid w:val="0081751B"/>
    <w:rsid w:val="00817A7F"/>
    <w:rsid w:val="00817D36"/>
    <w:rsid w:val="0082020C"/>
    <w:rsid w:val="008204C7"/>
    <w:rsid w:val="00820992"/>
    <w:rsid w:val="00820C24"/>
    <w:rsid w:val="00820CDB"/>
    <w:rsid w:val="00821466"/>
    <w:rsid w:val="0082158A"/>
    <w:rsid w:val="00822789"/>
    <w:rsid w:val="00823602"/>
    <w:rsid w:val="008255F5"/>
    <w:rsid w:val="00825642"/>
    <w:rsid w:val="0082596E"/>
    <w:rsid w:val="00826C90"/>
    <w:rsid w:val="008272F1"/>
    <w:rsid w:val="008273A4"/>
    <w:rsid w:val="008274E7"/>
    <w:rsid w:val="00827D30"/>
    <w:rsid w:val="00827DA2"/>
    <w:rsid w:val="00827DD3"/>
    <w:rsid w:val="00827FF9"/>
    <w:rsid w:val="0083014E"/>
    <w:rsid w:val="008310FD"/>
    <w:rsid w:val="00832142"/>
    <w:rsid w:val="0083214A"/>
    <w:rsid w:val="00834220"/>
    <w:rsid w:val="008345AE"/>
    <w:rsid w:val="00834D3E"/>
    <w:rsid w:val="0083530F"/>
    <w:rsid w:val="00837605"/>
    <w:rsid w:val="00837CFC"/>
    <w:rsid w:val="008400C0"/>
    <w:rsid w:val="008402BB"/>
    <w:rsid w:val="00840371"/>
    <w:rsid w:val="00840949"/>
    <w:rsid w:val="00840EF5"/>
    <w:rsid w:val="00841235"/>
    <w:rsid w:val="0084191A"/>
    <w:rsid w:val="00841D98"/>
    <w:rsid w:val="00842029"/>
    <w:rsid w:val="00842870"/>
    <w:rsid w:val="00843472"/>
    <w:rsid w:val="008445FA"/>
    <w:rsid w:val="00845619"/>
    <w:rsid w:val="00845723"/>
    <w:rsid w:val="008458A6"/>
    <w:rsid w:val="00847C64"/>
    <w:rsid w:val="00850E0A"/>
    <w:rsid w:val="00851474"/>
    <w:rsid w:val="00851EF9"/>
    <w:rsid w:val="00852453"/>
    <w:rsid w:val="00852693"/>
    <w:rsid w:val="008526D7"/>
    <w:rsid w:val="00854260"/>
    <w:rsid w:val="00855414"/>
    <w:rsid w:val="00855742"/>
    <w:rsid w:val="00855796"/>
    <w:rsid w:val="00855CA9"/>
    <w:rsid w:val="00855F88"/>
    <w:rsid w:val="00856C3A"/>
    <w:rsid w:val="00856FBD"/>
    <w:rsid w:val="008570C2"/>
    <w:rsid w:val="008574FD"/>
    <w:rsid w:val="008577FD"/>
    <w:rsid w:val="00860721"/>
    <w:rsid w:val="00860B03"/>
    <w:rsid w:val="00860D6F"/>
    <w:rsid w:val="0086156D"/>
    <w:rsid w:val="008616AD"/>
    <w:rsid w:val="008618C5"/>
    <w:rsid w:val="0086227F"/>
    <w:rsid w:val="008622A6"/>
    <w:rsid w:val="008626CE"/>
    <w:rsid w:val="008636BE"/>
    <w:rsid w:val="00863E0F"/>
    <w:rsid w:val="00863F76"/>
    <w:rsid w:val="008646A5"/>
    <w:rsid w:val="0086497A"/>
    <w:rsid w:val="00865AFC"/>
    <w:rsid w:val="00866B22"/>
    <w:rsid w:val="00867487"/>
    <w:rsid w:val="00867820"/>
    <w:rsid w:val="00867B1B"/>
    <w:rsid w:val="00870909"/>
    <w:rsid w:val="008713A1"/>
    <w:rsid w:val="008725D5"/>
    <w:rsid w:val="008725EF"/>
    <w:rsid w:val="0087397F"/>
    <w:rsid w:val="00873AF4"/>
    <w:rsid w:val="00873EB9"/>
    <w:rsid w:val="0087436E"/>
    <w:rsid w:val="0087454D"/>
    <w:rsid w:val="008745ED"/>
    <w:rsid w:val="008746F9"/>
    <w:rsid w:val="00874A52"/>
    <w:rsid w:val="00875334"/>
    <w:rsid w:val="0087541E"/>
    <w:rsid w:val="008754AB"/>
    <w:rsid w:val="0087623C"/>
    <w:rsid w:val="00876479"/>
    <w:rsid w:val="0087654C"/>
    <w:rsid w:val="008769CF"/>
    <w:rsid w:val="00877076"/>
    <w:rsid w:val="00877616"/>
    <w:rsid w:val="00877680"/>
    <w:rsid w:val="0087776C"/>
    <w:rsid w:val="00877B66"/>
    <w:rsid w:val="0088060C"/>
    <w:rsid w:val="008813C4"/>
    <w:rsid w:val="0088155E"/>
    <w:rsid w:val="00881BD6"/>
    <w:rsid w:val="00882232"/>
    <w:rsid w:val="00882256"/>
    <w:rsid w:val="00882758"/>
    <w:rsid w:val="008835CA"/>
    <w:rsid w:val="00883D5E"/>
    <w:rsid w:val="00885184"/>
    <w:rsid w:val="00885824"/>
    <w:rsid w:val="00886485"/>
    <w:rsid w:val="0088756D"/>
    <w:rsid w:val="00887E6E"/>
    <w:rsid w:val="008901FC"/>
    <w:rsid w:val="00890363"/>
    <w:rsid w:val="00890D30"/>
    <w:rsid w:val="0089183E"/>
    <w:rsid w:val="0089227C"/>
    <w:rsid w:val="00892445"/>
    <w:rsid w:val="008927B9"/>
    <w:rsid w:val="008927CE"/>
    <w:rsid w:val="0089302A"/>
    <w:rsid w:val="00893576"/>
    <w:rsid w:val="00893636"/>
    <w:rsid w:val="00893C3B"/>
    <w:rsid w:val="00893DA5"/>
    <w:rsid w:val="00893E73"/>
    <w:rsid w:val="00894605"/>
    <w:rsid w:val="00894891"/>
    <w:rsid w:val="00894C5B"/>
    <w:rsid w:val="008952B5"/>
    <w:rsid w:val="00895672"/>
    <w:rsid w:val="00896361"/>
    <w:rsid w:val="008964E5"/>
    <w:rsid w:val="008968D3"/>
    <w:rsid w:val="00896AC4"/>
    <w:rsid w:val="00896B5D"/>
    <w:rsid w:val="008A0E4C"/>
    <w:rsid w:val="008A118B"/>
    <w:rsid w:val="008A156B"/>
    <w:rsid w:val="008A16C7"/>
    <w:rsid w:val="008A1E15"/>
    <w:rsid w:val="008A2A54"/>
    <w:rsid w:val="008A358B"/>
    <w:rsid w:val="008A3952"/>
    <w:rsid w:val="008A3BB4"/>
    <w:rsid w:val="008A3DBA"/>
    <w:rsid w:val="008A43C4"/>
    <w:rsid w:val="008A4B67"/>
    <w:rsid w:val="008B0028"/>
    <w:rsid w:val="008B0118"/>
    <w:rsid w:val="008B01C8"/>
    <w:rsid w:val="008B02D7"/>
    <w:rsid w:val="008B02DC"/>
    <w:rsid w:val="008B08C5"/>
    <w:rsid w:val="008B0D3A"/>
    <w:rsid w:val="008B105C"/>
    <w:rsid w:val="008B109F"/>
    <w:rsid w:val="008B158C"/>
    <w:rsid w:val="008B24E6"/>
    <w:rsid w:val="008B2CDE"/>
    <w:rsid w:val="008B3942"/>
    <w:rsid w:val="008B447F"/>
    <w:rsid w:val="008B4CB1"/>
    <w:rsid w:val="008B5111"/>
    <w:rsid w:val="008B519F"/>
    <w:rsid w:val="008B54B7"/>
    <w:rsid w:val="008B56E5"/>
    <w:rsid w:val="008B57CE"/>
    <w:rsid w:val="008B6379"/>
    <w:rsid w:val="008B659F"/>
    <w:rsid w:val="008B6921"/>
    <w:rsid w:val="008B74CF"/>
    <w:rsid w:val="008B7AF3"/>
    <w:rsid w:val="008C0211"/>
    <w:rsid w:val="008C075C"/>
    <w:rsid w:val="008C0B31"/>
    <w:rsid w:val="008C0CA3"/>
    <w:rsid w:val="008C0DFF"/>
    <w:rsid w:val="008C139F"/>
    <w:rsid w:val="008C2069"/>
    <w:rsid w:val="008C25E7"/>
    <w:rsid w:val="008C26DE"/>
    <w:rsid w:val="008C2A26"/>
    <w:rsid w:val="008C2DEB"/>
    <w:rsid w:val="008C333D"/>
    <w:rsid w:val="008C353D"/>
    <w:rsid w:val="008C3C2A"/>
    <w:rsid w:val="008C3D00"/>
    <w:rsid w:val="008C497A"/>
    <w:rsid w:val="008C4D4C"/>
    <w:rsid w:val="008C5587"/>
    <w:rsid w:val="008C582F"/>
    <w:rsid w:val="008C6E29"/>
    <w:rsid w:val="008C70A1"/>
    <w:rsid w:val="008C793D"/>
    <w:rsid w:val="008D099E"/>
    <w:rsid w:val="008D0BF8"/>
    <w:rsid w:val="008D13BF"/>
    <w:rsid w:val="008D2225"/>
    <w:rsid w:val="008D3788"/>
    <w:rsid w:val="008D4752"/>
    <w:rsid w:val="008D4C9E"/>
    <w:rsid w:val="008D4D86"/>
    <w:rsid w:val="008D552A"/>
    <w:rsid w:val="008D5C80"/>
    <w:rsid w:val="008D7556"/>
    <w:rsid w:val="008D7979"/>
    <w:rsid w:val="008D7C65"/>
    <w:rsid w:val="008D7D02"/>
    <w:rsid w:val="008E09EA"/>
    <w:rsid w:val="008E0F9C"/>
    <w:rsid w:val="008E14B9"/>
    <w:rsid w:val="008E1FBF"/>
    <w:rsid w:val="008E2158"/>
    <w:rsid w:val="008E23B5"/>
    <w:rsid w:val="008E23E2"/>
    <w:rsid w:val="008E2432"/>
    <w:rsid w:val="008E248D"/>
    <w:rsid w:val="008E24C7"/>
    <w:rsid w:val="008E271C"/>
    <w:rsid w:val="008E2A2B"/>
    <w:rsid w:val="008E2C27"/>
    <w:rsid w:val="008E3D33"/>
    <w:rsid w:val="008E418E"/>
    <w:rsid w:val="008E4C40"/>
    <w:rsid w:val="008E4E1A"/>
    <w:rsid w:val="008E51D9"/>
    <w:rsid w:val="008E54FD"/>
    <w:rsid w:val="008E5BC6"/>
    <w:rsid w:val="008E5D43"/>
    <w:rsid w:val="008E5DDC"/>
    <w:rsid w:val="008E6A25"/>
    <w:rsid w:val="008E6B9A"/>
    <w:rsid w:val="008E7428"/>
    <w:rsid w:val="008E7492"/>
    <w:rsid w:val="008E7660"/>
    <w:rsid w:val="008F1161"/>
    <w:rsid w:val="008F151D"/>
    <w:rsid w:val="008F1952"/>
    <w:rsid w:val="008F1B31"/>
    <w:rsid w:val="008F1BB8"/>
    <w:rsid w:val="008F1F02"/>
    <w:rsid w:val="008F30AC"/>
    <w:rsid w:val="008F3258"/>
    <w:rsid w:val="008F3669"/>
    <w:rsid w:val="008F43A5"/>
    <w:rsid w:val="008F43C4"/>
    <w:rsid w:val="008F4EBB"/>
    <w:rsid w:val="008F4ED7"/>
    <w:rsid w:val="008F5193"/>
    <w:rsid w:val="008F579D"/>
    <w:rsid w:val="008F608C"/>
    <w:rsid w:val="008F6360"/>
    <w:rsid w:val="008F6C75"/>
    <w:rsid w:val="008F745A"/>
    <w:rsid w:val="008F7E13"/>
    <w:rsid w:val="00900A54"/>
    <w:rsid w:val="00900BA4"/>
    <w:rsid w:val="009013A7"/>
    <w:rsid w:val="009017FB"/>
    <w:rsid w:val="009017FC"/>
    <w:rsid w:val="00901A52"/>
    <w:rsid w:val="00901F1C"/>
    <w:rsid w:val="009023D1"/>
    <w:rsid w:val="00903B43"/>
    <w:rsid w:val="00903F84"/>
    <w:rsid w:val="00904270"/>
    <w:rsid w:val="0090506B"/>
    <w:rsid w:val="009050C9"/>
    <w:rsid w:val="0090565C"/>
    <w:rsid w:val="00905A01"/>
    <w:rsid w:val="00905C60"/>
    <w:rsid w:val="009066FC"/>
    <w:rsid w:val="00907409"/>
    <w:rsid w:val="0091015A"/>
    <w:rsid w:val="00910F15"/>
    <w:rsid w:val="00910FDA"/>
    <w:rsid w:val="0091146A"/>
    <w:rsid w:val="00911480"/>
    <w:rsid w:val="00911AED"/>
    <w:rsid w:val="0091260C"/>
    <w:rsid w:val="00912706"/>
    <w:rsid w:val="00912AB9"/>
    <w:rsid w:val="009134FB"/>
    <w:rsid w:val="009138B9"/>
    <w:rsid w:val="009140A3"/>
    <w:rsid w:val="009144A2"/>
    <w:rsid w:val="0091471B"/>
    <w:rsid w:val="00914BDB"/>
    <w:rsid w:val="00914CF0"/>
    <w:rsid w:val="0091510C"/>
    <w:rsid w:val="009154E0"/>
    <w:rsid w:val="0091574B"/>
    <w:rsid w:val="00917831"/>
    <w:rsid w:val="00917ADF"/>
    <w:rsid w:val="00917C75"/>
    <w:rsid w:val="00920DAF"/>
    <w:rsid w:val="0092164C"/>
    <w:rsid w:val="009217C7"/>
    <w:rsid w:val="00921B0A"/>
    <w:rsid w:val="009222ED"/>
    <w:rsid w:val="0092253A"/>
    <w:rsid w:val="00922B6C"/>
    <w:rsid w:val="00922BEE"/>
    <w:rsid w:val="00922DDD"/>
    <w:rsid w:val="00923A07"/>
    <w:rsid w:val="00923E23"/>
    <w:rsid w:val="009240F6"/>
    <w:rsid w:val="0092425C"/>
    <w:rsid w:val="00925536"/>
    <w:rsid w:val="0092590C"/>
    <w:rsid w:val="009259AC"/>
    <w:rsid w:val="00925A30"/>
    <w:rsid w:val="00926A49"/>
    <w:rsid w:val="00926F38"/>
    <w:rsid w:val="00927E47"/>
    <w:rsid w:val="00930842"/>
    <w:rsid w:val="0093093D"/>
    <w:rsid w:val="009319F8"/>
    <w:rsid w:val="00931AF1"/>
    <w:rsid w:val="00931E13"/>
    <w:rsid w:val="009326A4"/>
    <w:rsid w:val="009334FB"/>
    <w:rsid w:val="00933DE9"/>
    <w:rsid w:val="00934301"/>
    <w:rsid w:val="0093463A"/>
    <w:rsid w:val="00934CB7"/>
    <w:rsid w:val="009351EA"/>
    <w:rsid w:val="009361DD"/>
    <w:rsid w:val="0093636F"/>
    <w:rsid w:val="00936CD1"/>
    <w:rsid w:val="009377AD"/>
    <w:rsid w:val="00937B67"/>
    <w:rsid w:val="0094059E"/>
    <w:rsid w:val="00941747"/>
    <w:rsid w:val="00941EFB"/>
    <w:rsid w:val="00942004"/>
    <w:rsid w:val="009424F5"/>
    <w:rsid w:val="009428DD"/>
    <w:rsid w:val="00943FFA"/>
    <w:rsid w:val="00944232"/>
    <w:rsid w:val="00944681"/>
    <w:rsid w:val="00944BEC"/>
    <w:rsid w:val="00945B02"/>
    <w:rsid w:val="00945D0E"/>
    <w:rsid w:val="0094662E"/>
    <w:rsid w:val="00946DFE"/>
    <w:rsid w:val="0094736E"/>
    <w:rsid w:val="00947564"/>
    <w:rsid w:val="00947AFB"/>
    <w:rsid w:val="00947E3F"/>
    <w:rsid w:val="00947F74"/>
    <w:rsid w:val="00951414"/>
    <w:rsid w:val="00951CA1"/>
    <w:rsid w:val="00951D7D"/>
    <w:rsid w:val="009520E8"/>
    <w:rsid w:val="00952A59"/>
    <w:rsid w:val="00952C12"/>
    <w:rsid w:val="00952F87"/>
    <w:rsid w:val="009544FF"/>
    <w:rsid w:val="009548D4"/>
    <w:rsid w:val="00954CA7"/>
    <w:rsid w:val="009558AD"/>
    <w:rsid w:val="00956364"/>
    <w:rsid w:val="009569D0"/>
    <w:rsid w:val="00956D33"/>
    <w:rsid w:val="00957380"/>
    <w:rsid w:val="00961131"/>
    <w:rsid w:val="00961851"/>
    <w:rsid w:val="00962645"/>
    <w:rsid w:val="00962707"/>
    <w:rsid w:val="009630C7"/>
    <w:rsid w:val="00963D2C"/>
    <w:rsid w:val="00964F31"/>
    <w:rsid w:val="00965AE0"/>
    <w:rsid w:val="00965D50"/>
    <w:rsid w:val="00966B95"/>
    <w:rsid w:val="009677B5"/>
    <w:rsid w:val="00967DEC"/>
    <w:rsid w:val="00970E2E"/>
    <w:rsid w:val="009725B2"/>
    <w:rsid w:val="00972644"/>
    <w:rsid w:val="00972744"/>
    <w:rsid w:val="00972B55"/>
    <w:rsid w:val="009737EC"/>
    <w:rsid w:val="00973ABE"/>
    <w:rsid w:val="00973E63"/>
    <w:rsid w:val="00973EDD"/>
    <w:rsid w:val="009743B7"/>
    <w:rsid w:val="00974884"/>
    <w:rsid w:val="00975056"/>
    <w:rsid w:val="00975758"/>
    <w:rsid w:val="009758E0"/>
    <w:rsid w:val="00975B64"/>
    <w:rsid w:val="0097658C"/>
    <w:rsid w:val="00976840"/>
    <w:rsid w:val="0097735A"/>
    <w:rsid w:val="0097739C"/>
    <w:rsid w:val="00977CB2"/>
    <w:rsid w:val="00977F7C"/>
    <w:rsid w:val="0098025C"/>
    <w:rsid w:val="0098078F"/>
    <w:rsid w:val="0098133A"/>
    <w:rsid w:val="00981CE9"/>
    <w:rsid w:val="00982153"/>
    <w:rsid w:val="0098228B"/>
    <w:rsid w:val="009828DA"/>
    <w:rsid w:val="009831FD"/>
    <w:rsid w:val="00984278"/>
    <w:rsid w:val="009853C3"/>
    <w:rsid w:val="009853FD"/>
    <w:rsid w:val="00985ACA"/>
    <w:rsid w:val="00985BAB"/>
    <w:rsid w:val="00986D96"/>
    <w:rsid w:val="0098714A"/>
    <w:rsid w:val="00987153"/>
    <w:rsid w:val="0098727C"/>
    <w:rsid w:val="00987B17"/>
    <w:rsid w:val="00987C2F"/>
    <w:rsid w:val="0099169F"/>
    <w:rsid w:val="00993591"/>
    <w:rsid w:val="009941ED"/>
    <w:rsid w:val="0099497F"/>
    <w:rsid w:val="0099590C"/>
    <w:rsid w:val="00995A69"/>
    <w:rsid w:val="009963DE"/>
    <w:rsid w:val="0099698C"/>
    <w:rsid w:val="00997185"/>
    <w:rsid w:val="00997468"/>
    <w:rsid w:val="00997F03"/>
    <w:rsid w:val="009A014F"/>
    <w:rsid w:val="009A16AF"/>
    <w:rsid w:val="009A1B5D"/>
    <w:rsid w:val="009A1BD3"/>
    <w:rsid w:val="009A24B6"/>
    <w:rsid w:val="009A286E"/>
    <w:rsid w:val="009A3341"/>
    <w:rsid w:val="009A352B"/>
    <w:rsid w:val="009A46DF"/>
    <w:rsid w:val="009A48DE"/>
    <w:rsid w:val="009A4D37"/>
    <w:rsid w:val="009A4DDA"/>
    <w:rsid w:val="009A4F61"/>
    <w:rsid w:val="009A5535"/>
    <w:rsid w:val="009A6C06"/>
    <w:rsid w:val="009A7C08"/>
    <w:rsid w:val="009A7E0E"/>
    <w:rsid w:val="009B0093"/>
    <w:rsid w:val="009B0CB2"/>
    <w:rsid w:val="009B144A"/>
    <w:rsid w:val="009B1AAF"/>
    <w:rsid w:val="009B1B5F"/>
    <w:rsid w:val="009B1D2E"/>
    <w:rsid w:val="009B2EC2"/>
    <w:rsid w:val="009B39B0"/>
    <w:rsid w:val="009B3EF1"/>
    <w:rsid w:val="009B41B9"/>
    <w:rsid w:val="009B448C"/>
    <w:rsid w:val="009B46DB"/>
    <w:rsid w:val="009B4ACB"/>
    <w:rsid w:val="009B50BE"/>
    <w:rsid w:val="009B5B87"/>
    <w:rsid w:val="009B5E5B"/>
    <w:rsid w:val="009B5EBB"/>
    <w:rsid w:val="009B6032"/>
    <w:rsid w:val="009B6673"/>
    <w:rsid w:val="009B6E71"/>
    <w:rsid w:val="009C085C"/>
    <w:rsid w:val="009C0D91"/>
    <w:rsid w:val="009C1411"/>
    <w:rsid w:val="009C16BC"/>
    <w:rsid w:val="009C191B"/>
    <w:rsid w:val="009C1C36"/>
    <w:rsid w:val="009C2BD6"/>
    <w:rsid w:val="009C2E1D"/>
    <w:rsid w:val="009C31CD"/>
    <w:rsid w:val="009C346C"/>
    <w:rsid w:val="009C4047"/>
    <w:rsid w:val="009C422E"/>
    <w:rsid w:val="009C464E"/>
    <w:rsid w:val="009C4937"/>
    <w:rsid w:val="009C4BF8"/>
    <w:rsid w:val="009C5D30"/>
    <w:rsid w:val="009C612E"/>
    <w:rsid w:val="009C694F"/>
    <w:rsid w:val="009C7029"/>
    <w:rsid w:val="009C756D"/>
    <w:rsid w:val="009C7AB5"/>
    <w:rsid w:val="009D022F"/>
    <w:rsid w:val="009D07CE"/>
    <w:rsid w:val="009D0AB4"/>
    <w:rsid w:val="009D16DC"/>
    <w:rsid w:val="009D1EB3"/>
    <w:rsid w:val="009D257A"/>
    <w:rsid w:val="009D31F8"/>
    <w:rsid w:val="009D3558"/>
    <w:rsid w:val="009D35B4"/>
    <w:rsid w:val="009D3BA2"/>
    <w:rsid w:val="009D3D1F"/>
    <w:rsid w:val="009D3E44"/>
    <w:rsid w:val="009D3ED5"/>
    <w:rsid w:val="009D3FB4"/>
    <w:rsid w:val="009D4503"/>
    <w:rsid w:val="009D490B"/>
    <w:rsid w:val="009D4F37"/>
    <w:rsid w:val="009D53D1"/>
    <w:rsid w:val="009D54D0"/>
    <w:rsid w:val="009D5809"/>
    <w:rsid w:val="009D586D"/>
    <w:rsid w:val="009D6064"/>
    <w:rsid w:val="009D60B5"/>
    <w:rsid w:val="009D6A4B"/>
    <w:rsid w:val="009D7CBD"/>
    <w:rsid w:val="009E0017"/>
    <w:rsid w:val="009E03D7"/>
    <w:rsid w:val="009E04BB"/>
    <w:rsid w:val="009E0705"/>
    <w:rsid w:val="009E115C"/>
    <w:rsid w:val="009E138B"/>
    <w:rsid w:val="009E1EEA"/>
    <w:rsid w:val="009E1F32"/>
    <w:rsid w:val="009E2E8C"/>
    <w:rsid w:val="009E306C"/>
    <w:rsid w:val="009E3A5F"/>
    <w:rsid w:val="009E3CF9"/>
    <w:rsid w:val="009E4CB5"/>
    <w:rsid w:val="009E4EC6"/>
    <w:rsid w:val="009E55B5"/>
    <w:rsid w:val="009E5829"/>
    <w:rsid w:val="009E633C"/>
    <w:rsid w:val="009E66BF"/>
    <w:rsid w:val="009E7268"/>
    <w:rsid w:val="009E776C"/>
    <w:rsid w:val="009E7DD8"/>
    <w:rsid w:val="009E7E2C"/>
    <w:rsid w:val="009E7E4B"/>
    <w:rsid w:val="009F0ADE"/>
    <w:rsid w:val="009F1BA9"/>
    <w:rsid w:val="009F224F"/>
    <w:rsid w:val="009F2365"/>
    <w:rsid w:val="009F2784"/>
    <w:rsid w:val="009F27BF"/>
    <w:rsid w:val="009F5134"/>
    <w:rsid w:val="009F5C8A"/>
    <w:rsid w:val="009F7F2C"/>
    <w:rsid w:val="00A00369"/>
    <w:rsid w:val="00A0074D"/>
    <w:rsid w:val="00A011DA"/>
    <w:rsid w:val="00A02796"/>
    <w:rsid w:val="00A04252"/>
    <w:rsid w:val="00A04ACB"/>
    <w:rsid w:val="00A05538"/>
    <w:rsid w:val="00A06117"/>
    <w:rsid w:val="00A0617A"/>
    <w:rsid w:val="00A067DA"/>
    <w:rsid w:val="00A06852"/>
    <w:rsid w:val="00A0731C"/>
    <w:rsid w:val="00A07DAB"/>
    <w:rsid w:val="00A10269"/>
    <w:rsid w:val="00A107B5"/>
    <w:rsid w:val="00A1097E"/>
    <w:rsid w:val="00A112BC"/>
    <w:rsid w:val="00A11A83"/>
    <w:rsid w:val="00A126D0"/>
    <w:rsid w:val="00A13607"/>
    <w:rsid w:val="00A14774"/>
    <w:rsid w:val="00A149D2"/>
    <w:rsid w:val="00A14B85"/>
    <w:rsid w:val="00A15600"/>
    <w:rsid w:val="00A15E34"/>
    <w:rsid w:val="00A15E51"/>
    <w:rsid w:val="00A165C8"/>
    <w:rsid w:val="00A16738"/>
    <w:rsid w:val="00A1726E"/>
    <w:rsid w:val="00A17E19"/>
    <w:rsid w:val="00A17FD6"/>
    <w:rsid w:val="00A204CF"/>
    <w:rsid w:val="00A20C75"/>
    <w:rsid w:val="00A21627"/>
    <w:rsid w:val="00A223FF"/>
    <w:rsid w:val="00A22829"/>
    <w:rsid w:val="00A22878"/>
    <w:rsid w:val="00A23D49"/>
    <w:rsid w:val="00A240E3"/>
    <w:rsid w:val="00A24575"/>
    <w:rsid w:val="00A24E3D"/>
    <w:rsid w:val="00A2530C"/>
    <w:rsid w:val="00A262F3"/>
    <w:rsid w:val="00A26481"/>
    <w:rsid w:val="00A27004"/>
    <w:rsid w:val="00A27FA1"/>
    <w:rsid w:val="00A305B8"/>
    <w:rsid w:val="00A30C29"/>
    <w:rsid w:val="00A3106A"/>
    <w:rsid w:val="00A31218"/>
    <w:rsid w:val="00A31348"/>
    <w:rsid w:val="00A321DE"/>
    <w:rsid w:val="00A32AEB"/>
    <w:rsid w:val="00A32ED3"/>
    <w:rsid w:val="00A33FCB"/>
    <w:rsid w:val="00A343E8"/>
    <w:rsid w:val="00A346A3"/>
    <w:rsid w:val="00A34D69"/>
    <w:rsid w:val="00A34DD6"/>
    <w:rsid w:val="00A35135"/>
    <w:rsid w:val="00A35896"/>
    <w:rsid w:val="00A36819"/>
    <w:rsid w:val="00A36989"/>
    <w:rsid w:val="00A36C4D"/>
    <w:rsid w:val="00A3709A"/>
    <w:rsid w:val="00A376EB"/>
    <w:rsid w:val="00A37DAA"/>
    <w:rsid w:val="00A405F6"/>
    <w:rsid w:val="00A40CE7"/>
    <w:rsid w:val="00A41663"/>
    <w:rsid w:val="00A41A7B"/>
    <w:rsid w:val="00A42037"/>
    <w:rsid w:val="00A42B65"/>
    <w:rsid w:val="00A42F98"/>
    <w:rsid w:val="00A433CF"/>
    <w:rsid w:val="00A43628"/>
    <w:rsid w:val="00A43746"/>
    <w:rsid w:val="00A43747"/>
    <w:rsid w:val="00A43E96"/>
    <w:rsid w:val="00A44AF7"/>
    <w:rsid w:val="00A45AAC"/>
    <w:rsid w:val="00A46E75"/>
    <w:rsid w:val="00A47900"/>
    <w:rsid w:val="00A47F41"/>
    <w:rsid w:val="00A503A6"/>
    <w:rsid w:val="00A50C3B"/>
    <w:rsid w:val="00A51175"/>
    <w:rsid w:val="00A52690"/>
    <w:rsid w:val="00A52DCB"/>
    <w:rsid w:val="00A533E5"/>
    <w:rsid w:val="00A5385A"/>
    <w:rsid w:val="00A53B57"/>
    <w:rsid w:val="00A53ED5"/>
    <w:rsid w:val="00A54192"/>
    <w:rsid w:val="00A549CA"/>
    <w:rsid w:val="00A5551E"/>
    <w:rsid w:val="00A55706"/>
    <w:rsid w:val="00A55760"/>
    <w:rsid w:val="00A55806"/>
    <w:rsid w:val="00A55BF9"/>
    <w:rsid w:val="00A55CEC"/>
    <w:rsid w:val="00A56F32"/>
    <w:rsid w:val="00A5759E"/>
    <w:rsid w:val="00A57DC2"/>
    <w:rsid w:val="00A6035E"/>
    <w:rsid w:val="00A6118A"/>
    <w:rsid w:val="00A613B3"/>
    <w:rsid w:val="00A6144C"/>
    <w:rsid w:val="00A61CF7"/>
    <w:rsid w:val="00A62D65"/>
    <w:rsid w:val="00A640F3"/>
    <w:rsid w:val="00A64142"/>
    <w:rsid w:val="00A64499"/>
    <w:rsid w:val="00A647E2"/>
    <w:rsid w:val="00A65671"/>
    <w:rsid w:val="00A658CE"/>
    <w:rsid w:val="00A65B32"/>
    <w:rsid w:val="00A65C9A"/>
    <w:rsid w:val="00A65CAE"/>
    <w:rsid w:val="00A66407"/>
    <w:rsid w:val="00A66617"/>
    <w:rsid w:val="00A66944"/>
    <w:rsid w:val="00A669A5"/>
    <w:rsid w:val="00A67123"/>
    <w:rsid w:val="00A671F8"/>
    <w:rsid w:val="00A6722B"/>
    <w:rsid w:val="00A673A4"/>
    <w:rsid w:val="00A716C8"/>
    <w:rsid w:val="00A720CF"/>
    <w:rsid w:val="00A7215E"/>
    <w:rsid w:val="00A724AE"/>
    <w:rsid w:val="00A72929"/>
    <w:rsid w:val="00A73329"/>
    <w:rsid w:val="00A738E1"/>
    <w:rsid w:val="00A73AB5"/>
    <w:rsid w:val="00A748B0"/>
    <w:rsid w:val="00A74C02"/>
    <w:rsid w:val="00A74FBD"/>
    <w:rsid w:val="00A75615"/>
    <w:rsid w:val="00A758FE"/>
    <w:rsid w:val="00A75A04"/>
    <w:rsid w:val="00A75BE1"/>
    <w:rsid w:val="00A75EF4"/>
    <w:rsid w:val="00A76FB6"/>
    <w:rsid w:val="00A77151"/>
    <w:rsid w:val="00A77C21"/>
    <w:rsid w:val="00A804E3"/>
    <w:rsid w:val="00A80840"/>
    <w:rsid w:val="00A80FDD"/>
    <w:rsid w:val="00A82359"/>
    <w:rsid w:val="00A82B5A"/>
    <w:rsid w:val="00A8327E"/>
    <w:rsid w:val="00A83397"/>
    <w:rsid w:val="00A8401D"/>
    <w:rsid w:val="00A85225"/>
    <w:rsid w:val="00A8558D"/>
    <w:rsid w:val="00A865D2"/>
    <w:rsid w:val="00A86617"/>
    <w:rsid w:val="00A86AE6"/>
    <w:rsid w:val="00A902D4"/>
    <w:rsid w:val="00A924F5"/>
    <w:rsid w:val="00A92B68"/>
    <w:rsid w:val="00A933BF"/>
    <w:rsid w:val="00A93B1B"/>
    <w:rsid w:val="00A94C20"/>
    <w:rsid w:val="00A94E3D"/>
    <w:rsid w:val="00A95152"/>
    <w:rsid w:val="00A95DB3"/>
    <w:rsid w:val="00A968DC"/>
    <w:rsid w:val="00A96ED6"/>
    <w:rsid w:val="00A971D9"/>
    <w:rsid w:val="00A97ED8"/>
    <w:rsid w:val="00AA058A"/>
    <w:rsid w:val="00AA07E7"/>
    <w:rsid w:val="00AA0AB3"/>
    <w:rsid w:val="00AA10B4"/>
    <w:rsid w:val="00AA1CA1"/>
    <w:rsid w:val="00AA1E59"/>
    <w:rsid w:val="00AA227F"/>
    <w:rsid w:val="00AA2873"/>
    <w:rsid w:val="00AA3AE5"/>
    <w:rsid w:val="00AA3BC7"/>
    <w:rsid w:val="00AA44AD"/>
    <w:rsid w:val="00AA466D"/>
    <w:rsid w:val="00AA4DA4"/>
    <w:rsid w:val="00AA5384"/>
    <w:rsid w:val="00AA5591"/>
    <w:rsid w:val="00AA6427"/>
    <w:rsid w:val="00AA65AE"/>
    <w:rsid w:val="00AA7481"/>
    <w:rsid w:val="00AA754A"/>
    <w:rsid w:val="00AB0296"/>
    <w:rsid w:val="00AB055D"/>
    <w:rsid w:val="00AB099E"/>
    <w:rsid w:val="00AB130F"/>
    <w:rsid w:val="00AB1D03"/>
    <w:rsid w:val="00AB2937"/>
    <w:rsid w:val="00AB2FA2"/>
    <w:rsid w:val="00AB3455"/>
    <w:rsid w:val="00AB363C"/>
    <w:rsid w:val="00AB4328"/>
    <w:rsid w:val="00AB4F75"/>
    <w:rsid w:val="00AB4F7C"/>
    <w:rsid w:val="00AB5FA0"/>
    <w:rsid w:val="00AB7F63"/>
    <w:rsid w:val="00AC0368"/>
    <w:rsid w:val="00AC0DE7"/>
    <w:rsid w:val="00AC1074"/>
    <w:rsid w:val="00AC1D2B"/>
    <w:rsid w:val="00AC2BA1"/>
    <w:rsid w:val="00AC2F76"/>
    <w:rsid w:val="00AC39ED"/>
    <w:rsid w:val="00AC3CF1"/>
    <w:rsid w:val="00AC3D23"/>
    <w:rsid w:val="00AC4727"/>
    <w:rsid w:val="00AC5D26"/>
    <w:rsid w:val="00AC5DBA"/>
    <w:rsid w:val="00AC5E76"/>
    <w:rsid w:val="00AC612F"/>
    <w:rsid w:val="00AD0838"/>
    <w:rsid w:val="00AD0ADB"/>
    <w:rsid w:val="00AD0D0A"/>
    <w:rsid w:val="00AD2CA9"/>
    <w:rsid w:val="00AD3164"/>
    <w:rsid w:val="00AD3CF2"/>
    <w:rsid w:val="00AD4B1C"/>
    <w:rsid w:val="00AD4F1F"/>
    <w:rsid w:val="00AD5058"/>
    <w:rsid w:val="00AD50A9"/>
    <w:rsid w:val="00AD5E0D"/>
    <w:rsid w:val="00AD79E9"/>
    <w:rsid w:val="00AE0673"/>
    <w:rsid w:val="00AE069D"/>
    <w:rsid w:val="00AE0806"/>
    <w:rsid w:val="00AE0A2E"/>
    <w:rsid w:val="00AE0A61"/>
    <w:rsid w:val="00AE0B3C"/>
    <w:rsid w:val="00AE19E3"/>
    <w:rsid w:val="00AE2089"/>
    <w:rsid w:val="00AE216E"/>
    <w:rsid w:val="00AE354C"/>
    <w:rsid w:val="00AE37A3"/>
    <w:rsid w:val="00AE3E13"/>
    <w:rsid w:val="00AE3E96"/>
    <w:rsid w:val="00AE4595"/>
    <w:rsid w:val="00AE4CB3"/>
    <w:rsid w:val="00AE51A3"/>
    <w:rsid w:val="00AE638B"/>
    <w:rsid w:val="00AE7428"/>
    <w:rsid w:val="00AE759C"/>
    <w:rsid w:val="00AE784B"/>
    <w:rsid w:val="00AE78DB"/>
    <w:rsid w:val="00AF05C7"/>
    <w:rsid w:val="00AF0935"/>
    <w:rsid w:val="00AF0A1C"/>
    <w:rsid w:val="00AF0CA4"/>
    <w:rsid w:val="00AF2635"/>
    <w:rsid w:val="00AF27AC"/>
    <w:rsid w:val="00AF2B76"/>
    <w:rsid w:val="00AF2CBB"/>
    <w:rsid w:val="00AF2FF1"/>
    <w:rsid w:val="00AF3969"/>
    <w:rsid w:val="00AF3CFD"/>
    <w:rsid w:val="00AF3D7C"/>
    <w:rsid w:val="00AF4204"/>
    <w:rsid w:val="00AF4B07"/>
    <w:rsid w:val="00AF56B2"/>
    <w:rsid w:val="00AF6186"/>
    <w:rsid w:val="00AF62C3"/>
    <w:rsid w:val="00AF7039"/>
    <w:rsid w:val="00AF7A3A"/>
    <w:rsid w:val="00AF7B1D"/>
    <w:rsid w:val="00AF7D31"/>
    <w:rsid w:val="00B004A8"/>
    <w:rsid w:val="00B00A11"/>
    <w:rsid w:val="00B01501"/>
    <w:rsid w:val="00B01A6F"/>
    <w:rsid w:val="00B025EE"/>
    <w:rsid w:val="00B03105"/>
    <w:rsid w:val="00B03681"/>
    <w:rsid w:val="00B0417E"/>
    <w:rsid w:val="00B043AA"/>
    <w:rsid w:val="00B0497B"/>
    <w:rsid w:val="00B04CAB"/>
    <w:rsid w:val="00B05860"/>
    <w:rsid w:val="00B05B6D"/>
    <w:rsid w:val="00B065F6"/>
    <w:rsid w:val="00B06FAF"/>
    <w:rsid w:val="00B0739E"/>
    <w:rsid w:val="00B07814"/>
    <w:rsid w:val="00B103B0"/>
    <w:rsid w:val="00B107DC"/>
    <w:rsid w:val="00B10AB0"/>
    <w:rsid w:val="00B111B7"/>
    <w:rsid w:val="00B11783"/>
    <w:rsid w:val="00B11FDD"/>
    <w:rsid w:val="00B13B3E"/>
    <w:rsid w:val="00B13FF4"/>
    <w:rsid w:val="00B14AEF"/>
    <w:rsid w:val="00B14E01"/>
    <w:rsid w:val="00B153D4"/>
    <w:rsid w:val="00B15A0E"/>
    <w:rsid w:val="00B160DB"/>
    <w:rsid w:val="00B16A41"/>
    <w:rsid w:val="00B16B5D"/>
    <w:rsid w:val="00B17908"/>
    <w:rsid w:val="00B17B84"/>
    <w:rsid w:val="00B17DD4"/>
    <w:rsid w:val="00B20836"/>
    <w:rsid w:val="00B20F3D"/>
    <w:rsid w:val="00B2105C"/>
    <w:rsid w:val="00B21ED4"/>
    <w:rsid w:val="00B22A58"/>
    <w:rsid w:val="00B23091"/>
    <w:rsid w:val="00B235BB"/>
    <w:rsid w:val="00B240BB"/>
    <w:rsid w:val="00B24B27"/>
    <w:rsid w:val="00B24C0D"/>
    <w:rsid w:val="00B24E96"/>
    <w:rsid w:val="00B25423"/>
    <w:rsid w:val="00B27A44"/>
    <w:rsid w:val="00B3064C"/>
    <w:rsid w:val="00B30BBF"/>
    <w:rsid w:val="00B30EC5"/>
    <w:rsid w:val="00B3101B"/>
    <w:rsid w:val="00B3116C"/>
    <w:rsid w:val="00B31704"/>
    <w:rsid w:val="00B3190E"/>
    <w:rsid w:val="00B319B1"/>
    <w:rsid w:val="00B31B69"/>
    <w:rsid w:val="00B325AE"/>
    <w:rsid w:val="00B328A8"/>
    <w:rsid w:val="00B332FB"/>
    <w:rsid w:val="00B33C03"/>
    <w:rsid w:val="00B33F5C"/>
    <w:rsid w:val="00B352BB"/>
    <w:rsid w:val="00B354C2"/>
    <w:rsid w:val="00B35B44"/>
    <w:rsid w:val="00B365F0"/>
    <w:rsid w:val="00B36DF0"/>
    <w:rsid w:val="00B3723B"/>
    <w:rsid w:val="00B377F1"/>
    <w:rsid w:val="00B37F71"/>
    <w:rsid w:val="00B4077A"/>
    <w:rsid w:val="00B41336"/>
    <w:rsid w:val="00B413B3"/>
    <w:rsid w:val="00B4147A"/>
    <w:rsid w:val="00B41A84"/>
    <w:rsid w:val="00B4264D"/>
    <w:rsid w:val="00B4439A"/>
    <w:rsid w:val="00B4448D"/>
    <w:rsid w:val="00B44938"/>
    <w:rsid w:val="00B44E56"/>
    <w:rsid w:val="00B453F0"/>
    <w:rsid w:val="00B45AE7"/>
    <w:rsid w:val="00B45FFC"/>
    <w:rsid w:val="00B464BE"/>
    <w:rsid w:val="00B46543"/>
    <w:rsid w:val="00B4663A"/>
    <w:rsid w:val="00B4665B"/>
    <w:rsid w:val="00B46E40"/>
    <w:rsid w:val="00B47D33"/>
    <w:rsid w:val="00B5026B"/>
    <w:rsid w:val="00B50A65"/>
    <w:rsid w:val="00B50F46"/>
    <w:rsid w:val="00B51CCF"/>
    <w:rsid w:val="00B5241F"/>
    <w:rsid w:val="00B527F1"/>
    <w:rsid w:val="00B52876"/>
    <w:rsid w:val="00B52B0D"/>
    <w:rsid w:val="00B52BE0"/>
    <w:rsid w:val="00B533F5"/>
    <w:rsid w:val="00B54133"/>
    <w:rsid w:val="00B54741"/>
    <w:rsid w:val="00B5499E"/>
    <w:rsid w:val="00B54B4E"/>
    <w:rsid w:val="00B54E7D"/>
    <w:rsid w:val="00B5558A"/>
    <w:rsid w:val="00B555A6"/>
    <w:rsid w:val="00B55D32"/>
    <w:rsid w:val="00B55FF4"/>
    <w:rsid w:val="00B56304"/>
    <w:rsid w:val="00B5725E"/>
    <w:rsid w:val="00B57873"/>
    <w:rsid w:val="00B601AF"/>
    <w:rsid w:val="00B60735"/>
    <w:rsid w:val="00B60B13"/>
    <w:rsid w:val="00B61395"/>
    <w:rsid w:val="00B61B1A"/>
    <w:rsid w:val="00B62679"/>
    <w:rsid w:val="00B6269F"/>
    <w:rsid w:val="00B62777"/>
    <w:rsid w:val="00B627A1"/>
    <w:rsid w:val="00B62D33"/>
    <w:rsid w:val="00B637B9"/>
    <w:rsid w:val="00B64132"/>
    <w:rsid w:val="00B64177"/>
    <w:rsid w:val="00B6497A"/>
    <w:rsid w:val="00B64A22"/>
    <w:rsid w:val="00B64F67"/>
    <w:rsid w:val="00B64FB3"/>
    <w:rsid w:val="00B65A1A"/>
    <w:rsid w:val="00B65C81"/>
    <w:rsid w:val="00B65D37"/>
    <w:rsid w:val="00B6608B"/>
    <w:rsid w:val="00B6613C"/>
    <w:rsid w:val="00B66997"/>
    <w:rsid w:val="00B675EC"/>
    <w:rsid w:val="00B676EE"/>
    <w:rsid w:val="00B67B08"/>
    <w:rsid w:val="00B701ED"/>
    <w:rsid w:val="00B70E7D"/>
    <w:rsid w:val="00B7120A"/>
    <w:rsid w:val="00B72265"/>
    <w:rsid w:val="00B7263B"/>
    <w:rsid w:val="00B72C81"/>
    <w:rsid w:val="00B75156"/>
    <w:rsid w:val="00B754E2"/>
    <w:rsid w:val="00B75BDE"/>
    <w:rsid w:val="00B77553"/>
    <w:rsid w:val="00B77780"/>
    <w:rsid w:val="00B77F7C"/>
    <w:rsid w:val="00B800EB"/>
    <w:rsid w:val="00B80778"/>
    <w:rsid w:val="00B8086C"/>
    <w:rsid w:val="00B80C7B"/>
    <w:rsid w:val="00B84779"/>
    <w:rsid w:val="00B848D1"/>
    <w:rsid w:val="00B84C70"/>
    <w:rsid w:val="00B861B4"/>
    <w:rsid w:val="00B86D41"/>
    <w:rsid w:val="00B86DFE"/>
    <w:rsid w:val="00B90113"/>
    <w:rsid w:val="00B90532"/>
    <w:rsid w:val="00B907D8"/>
    <w:rsid w:val="00B90990"/>
    <w:rsid w:val="00B91A0A"/>
    <w:rsid w:val="00B91D4D"/>
    <w:rsid w:val="00B91FCD"/>
    <w:rsid w:val="00B9205C"/>
    <w:rsid w:val="00B922FF"/>
    <w:rsid w:val="00B92356"/>
    <w:rsid w:val="00B92589"/>
    <w:rsid w:val="00B9281E"/>
    <w:rsid w:val="00B92E97"/>
    <w:rsid w:val="00B93445"/>
    <w:rsid w:val="00B93496"/>
    <w:rsid w:val="00B93925"/>
    <w:rsid w:val="00B94681"/>
    <w:rsid w:val="00B94761"/>
    <w:rsid w:val="00B94E05"/>
    <w:rsid w:val="00B95187"/>
    <w:rsid w:val="00B95321"/>
    <w:rsid w:val="00B97176"/>
    <w:rsid w:val="00B97214"/>
    <w:rsid w:val="00B977FC"/>
    <w:rsid w:val="00BA0560"/>
    <w:rsid w:val="00BA08AD"/>
    <w:rsid w:val="00BA0F2B"/>
    <w:rsid w:val="00BA19A9"/>
    <w:rsid w:val="00BA1E88"/>
    <w:rsid w:val="00BA2178"/>
    <w:rsid w:val="00BA221D"/>
    <w:rsid w:val="00BA2D55"/>
    <w:rsid w:val="00BA3A60"/>
    <w:rsid w:val="00BA4813"/>
    <w:rsid w:val="00BA4E6D"/>
    <w:rsid w:val="00BA5187"/>
    <w:rsid w:val="00BA6081"/>
    <w:rsid w:val="00BA6105"/>
    <w:rsid w:val="00BA66D4"/>
    <w:rsid w:val="00BA6979"/>
    <w:rsid w:val="00BA69EB"/>
    <w:rsid w:val="00BA71A1"/>
    <w:rsid w:val="00BA71B1"/>
    <w:rsid w:val="00BA760D"/>
    <w:rsid w:val="00BA7646"/>
    <w:rsid w:val="00BA76FA"/>
    <w:rsid w:val="00BA7F2D"/>
    <w:rsid w:val="00BB00D6"/>
    <w:rsid w:val="00BB0637"/>
    <w:rsid w:val="00BB071A"/>
    <w:rsid w:val="00BB0DA7"/>
    <w:rsid w:val="00BB1039"/>
    <w:rsid w:val="00BB141F"/>
    <w:rsid w:val="00BB14B6"/>
    <w:rsid w:val="00BB1559"/>
    <w:rsid w:val="00BB2A38"/>
    <w:rsid w:val="00BB345F"/>
    <w:rsid w:val="00BB34F1"/>
    <w:rsid w:val="00BB37E5"/>
    <w:rsid w:val="00BB431C"/>
    <w:rsid w:val="00BB4679"/>
    <w:rsid w:val="00BB479B"/>
    <w:rsid w:val="00BB4A59"/>
    <w:rsid w:val="00BB5073"/>
    <w:rsid w:val="00BB5883"/>
    <w:rsid w:val="00BB5D0A"/>
    <w:rsid w:val="00BB5E43"/>
    <w:rsid w:val="00BB631D"/>
    <w:rsid w:val="00BB6693"/>
    <w:rsid w:val="00BB68EA"/>
    <w:rsid w:val="00BB6B1D"/>
    <w:rsid w:val="00BB7111"/>
    <w:rsid w:val="00BB72C2"/>
    <w:rsid w:val="00BB7C68"/>
    <w:rsid w:val="00BB7FFA"/>
    <w:rsid w:val="00BC06E4"/>
    <w:rsid w:val="00BC06E8"/>
    <w:rsid w:val="00BC11A0"/>
    <w:rsid w:val="00BC155D"/>
    <w:rsid w:val="00BC19D1"/>
    <w:rsid w:val="00BC1C27"/>
    <w:rsid w:val="00BC3751"/>
    <w:rsid w:val="00BC42BA"/>
    <w:rsid w:val="00BC4A72"/>
    <w:rsid w:val="00BC591D"/>
    <w:rsid w:val="00BC5A9A"/>
    <w:rsid w:val="00BC5F51"/>
    <w:rsid w:val="00BC6816"/>
    <w:rsid w:val="00BC6A38"/>
    <w:rsid w:val="00BC6BBF"/>
    <w:rsid w:val="00BC6C2A"/>
    <w:rsid w:val="00BC70CD"/>
    <w:rsid w:val="00BC735C"/>
    <w:rsid w:val="00BC7A6A"/>
    <w:rsid w:val="00BD1233"/>
    <w:rsid w:val="00BD1572"/>
    <w:rsid w:val="00BD19E3"/>
    <w:rsid w:val="00BD1FA8"/>
    <w:rsid w:val="00BD2A6F"/>
    <w:rsid w:val="00BD3540"/>
    <w:rsid w:val="00BD3EE1"/>
    <w:rsid w:val="00BD433F"/>
    <w:rsid w:val="00BD50A6"/>
    <w:rsid w:val="00BD5D39"/>
    <w:rsid w:val="00BD66CF"/>
    <w:rsid w:val="00BD7945"/>
    <w:rsid w:val="00BD7CAB"/>
    <w:rsid w:val="00BE0B83"/>
    <w:rsid w:val="00BE14E3"/>
    <w:rsid w:val="00BE1ED1"/>
    <w:rsid w:val="00BE2B8B"/>
    <w:rsid w:val="00BE350B"/>
    <w:rsid w:val="00BE3774"/>
    <w:rsid w:val="00BE3AB7"/>
    <w:rsid w:val="00BE4103"/>
    <w:rsid w:val="00BE41E5"/>
    <w:rsid w:val="00BE4391"/>
    <w:rsid w:val="00BE4B61"/>
    <w:rsid w:val="00BE4BE9"/>
    <w:rsid w:val="00BE4E3C"/>
    <w:rsid w:val="00BE5E56"/>
    <w:rsid w:val="00BE6373"/>
    <w:rsid w:val="00BE6CD6"/>
    <w:rsid w:val="00BE6EF0"/>
    <w:rsid w:val="00BE725D"/>
    <w:rsid w:val="00BE73B9"/>
    <w:rsid w:val="00BE78FB"/>
    <w:rsid w:val="00BE7A17"/>
    <w:rsid w:val="00BF00FF"/>
    <w:rsid w:val="00BF0373"/>
    <w:rsid w:val="00BF09C7"/>
    <w:rsid w:val="00BF0A41"/>
    <w:rsid w:val="00BF0BBB"/>
    <w:rsid w:val="00BF116F"/>
    <w:rsid w:val="00BF13EB"/>
    <w:rsid w:val="00BF2A35"/>
    <w:rsid w:val="00BF2B1D"/>
    <w:rsid w:val="00BF2D7F"/>
    <w:rsid w:val="00BF3479"/>
    <w:rsid w:val="00BF4109"/>
    <w:rsid w:val="00BF4549"/>
    <w:rsid w:val="00BF4561"/>
    <w:rsid w:val="00BF4623"/>
    <w:rsid w:val="00BF4CC3"/>
    <w:rsid w:val="00BF505B"/>
    <w:rsid w:val="00BF5EAD"/>
    <w:rsid w:val="00BF7313"/>
    <w:rsid w:val="00C00602"/>
    <w:rsid w:val="00C015D0"/>
    <w:rsid w:val="00C0223D"/>
    <w:rsid w:val="00C024BB"/>
    <w:rsid w:val="00C027C8"/>
    <w:rsid w:val="00C02AC2"/>
    <w:rsid w:val="00C02D8B"/>
    <w:rsid w:val="00C0353D"/>
    <w:rsid w:val="00C043ED"/>
    <w:rsid w:val="00C04552"/>
    <w:rsid w:val="00C05411"/>
    <w:rsid w:val="00C054C7"/>
    <w:rsid w:val="00C0567F"/>
    <w:rsid w:val="00C057B5"/>
    <w:rsid w:val="00C06AE2"/>
    <w:rsid w:val="00C06C29"/>
    <w:rsid w:val="00C072B4"/>
    <w:rsid w:val="00C07F2E"/>
    <w:rsid w:val="00C100C5"/>
    <w:rsid w:val="00C10934"/>
    <w:rsid w:val="00C10A41"/>
    <w:rsid w:val="00C10AED"/>
    <w:rsid w:val="00C10B50"/>
    <w:rsid w:val="00C1163F"/>
    <w:rsid w:val="00C11777"/>
    <w:rsid w:val="00C13F3F"/>
    <w:rsid w:val="00C142AE"/>
    <w:rsid w:val="00C14C88"/>
    <w:rsid w:val="00C14E37"/>
    <w:rsid w:val="00C155C1"/>
    <w:rsid w:val="00C1694C"/>
    <w:rsid w:val="00C16F18"/>
    <w:rsid w:val="00C17126"/>
    <w:rsid w:val="00C17A26"/>
    <w:rsid w:val="00C200BC"/>
    <w:rsid w:val="00C204C9"/>
    <w:rsid w:val="00C2052C"/>
    <w:rsid w:val="00C2078F"/>
    <w:rsid w:val="00C21354"/>
    <w:rsid w:val="00C2155E"/>
    <w:rsid w:val="00C22687"/>
    <w:rsid w:val="00C22CA2"/>
    <w:rsid w:val="00C235C6"/>
    <w:rsid w:val="00C23E8C"/>
    <w:rsid w:val="00C24BEF"/>
    <w:rsid w:val="00C24F6F"/>
    <w:rsid w:val="00C2520E"/>
    <w:rsid w:val="00C256CA"/>
    <w:rsid w:val="00C263AD"/>
    <w:rsid w:val="00C26890"/>
    <w:rsid w:val="00C268B9"/>
    <w:rsid w:val="00C26ACD"/>
    <w:rsid w:val="00C26F7E"/>
    <w:rsid w:val="00C27102"/>
    <w:rsid w:val="00C2733E"/>
    <w:rsid w:val="00C2785B"/>
    <w:rsid w:val="00C30D84"/>
    <w:rsid w:val="00C31439"/>
    <w:rsid w:val="00C31645"/>
    <w:rsid w:val="00C32513"/>
    <w:rsid w:val="00C32942"/>
    <w:rsid w:val="00C32E4D"/>
    <w:rsid w:val="00C3338F"/>
    <w:rsid w:val="00C333A0"/>
    <w:rsid w:val="00C342FD"/>
    <w:rsid w:val="00C35B31"/>
    <w:rsid w:val="00C362BF"/>
    <w:rsid w:val="00C36388"/>
    <w:rsid w:val="00C36A81"/>
    <w:rsid w:val="00C36BB8"/>
    <w:rsid w:val="00C40FF7"/>
    <w:rsid w:val="00C41104"/>
    <w:rsid w:val="00C41974"/>
    <w:rsid w:val="00C41C26"/>
    <w:rsid w:val="00C42084"/>
    <w:rsid w:val="00C4295A"/>
    <w:rsid w:val="00C42F7D"/>
    <w:rsid w:val="00C43790"/>
    <w:rsid w:val="00C44039"/>
    <w:rsid w:val="00C447AD"/>
    <w:rsid w:val="00C4496F"/>
    <w:rsid w:val="00C44E42"/>
    <w:rsid w:val="00C45A0B"/>
    <w:rsid w:val="00C4688C"/>
    <w:rsid w:val="00C470A4"/>
    <w:rsid w:val="00C471A3"/>
    <w:rsid w:val="00C4794D"/>
    <w:rsid w:val="00C50136"/>
    <w:rsid w:val="00C50C0B"/>
    <w:rsid w:val="00C511F2"/>
    <w:rsid w:val="00C513C1"/>
    <w:rsid w:val="00C51484"/>
    <w:rsid w:val="00C516F6"/>
    <w:rsid w:val="00C51A2A"/>
    <w:rsid w:val="00C52670"/>
    <w:rsid w:val="00C52A4F"/>
    <w:rsid w:val="00C530D8"/>
    <w:rsid w:val="00C53A0D"/>
    <w:rsid w:val="00C53F4A"/>
    <w:rsid w:val="00C53FEE"/>
    <w:rsid w:val="00C54125"/>
    <w:rsid w:val="00C54328"/>
    <w:rsid w:val="00C54587"/>
    <w:rsid w:val="00C54E36"/>
    <w:rsid w:val="00C55B54"/>
    <w:rsid w:val="00C55FE4"/>
    <w:rsid w:val="00C568CD"/>
    <w:rsid w:val="00C56D8F"/>
    <w:rsid w:val="00C57009"/>
    <w:rsid w:val="00C605C6"/>
    <w:rsid w:val="00C60611"/>
    <w:rsid w:val="00C6098E"/>
    <w:rsid w:val="00C61463"/>
    <w:rsid w:val="00C61517"/>
    <w:rsid w:val="00C6152C"/>
    <w:rsid w:val="00C61EB3"/>
    <w:rsid w:val="00C621C2"/>
    <w:rsid w:val="00C632F2"/>
    <w:rsid w:val="00C63349"/>
    <w:rsid w:val="00C639FE"/>
    <w:rsid w:val="00C63D3D"/>
    <w:rsid w:val="00C64264"/>
    <w:rsid w:val="00C64460"/>
    <w:rsid w:val="00C64A1D"/>
    <w:rsid w:val="00C64E89"/>
    <w:rsid w:val="00C652F9"/>
    <w:rsid w:val="00C65794"/>
    <w:rsid w:val="00C65BB1"/>
    <w:rsid w:val="00C66332"/>
    <w:rsid w:val="00C66C33"/>
    <w:rsid w:val="00C706FB"/>
    <w:rsid w:val="00C7089F"/>
    <w:rsid w:val="00C717D9"/>
    <w:rsid w:val="00C73784"/>
    <w:rsid w:val="00C7381A"/>
    <w:rsid w:val="00C73A9B"/>
    <w:rsid w:val="00C73B79"/>
    <w:rsid w:val="00C74810"/>
    <w:rsid w:val="00C76C49"/>
    <w:rsid w:val="00C7752C"/>
    <w:rsid w:val="00C775DD"/>
    <w:rsid w:val="00C80098"/>
    <w:rsid w:val="00C816A7"/>
    <w:rsid w:val="00C8185C"/>
    <w:rsid w:val="00C81E63"/>
    <w:rsid w:val="00C81EBE"/>
    <w:rsid w:val="00C82894"/>
    <w:rsid w:val="00C8445C"/>
    <w:rsid w:val="00C8449C"/>
    <w:rsid w:val="00C84F41"/>
    <w:rsid w:val="00C84FA7"/>
    <w:rsid w:val="00C850DE"/>
    <w:rsid w:val="00C85607"/>
    <w:rsid w:val="00C85C18"/>
    <w:rsid w:val="00C85ED4"/>
    <w:rsid w:val="00C86582"/>
    <w:rsid w:val="00C86902"/>
    <w:rsid w:val="00C87A0C"/>
    <w:rsid w:val="00C90D68"/>
    <w:rsid w:val="00C90E5E"/>
    <w:rsid w:val="00C911B5"/>
    <w:rsid w:val="00C91696"/>
    <w:rsid w:val="00C92E85"/>
    <w:rsid w:val="00C937F8"/>
    <w:rsid w:val="00C939FE"/>
    <w:rsid w:val="00C945A0"/>
    <w:rsid w:val="00C945E7"/>
    <w:rsid w:val="00C96B11"/>
    <w:rsid w:val="00C97368"/>
    <w:rsid w:val="00C978B8"/>
    <w:rsid w:val="00C979D4"/>
    <w:rsid w:val="00CA1272"/>
    <w:rsid w:val="00CA1938"/>
    <w:rsid w:val="00CA1998"/>
    <w:rsid w:val="00CA1F2C"/>
    <w:rsid w:val="00CA3FC0"/>
    <w:rsid w:val="00CA43C0"/>
    <w:rsid w:val="00CA4BDA"/>
    <w:rsid w:val="00CA65D5"/>
    <w:rsid w:val="00CA6C36"/>
    <w:rsid w:val="00CA6F00"/>
    <w:rsid w:val="00CA6F48"/>
    <w:rsid w:val="00CA7138"/>
    <w:rsid w:val="00CA79B7"/>
    <w:rsid w:val="00CB00DD"/>
    <w:rsid w:val="00CB0122"/>
    <w:rsid w:val="00CB077E"/>
    <w:rsid w:val="00CB1F66"/>
    <w:rsid w:val="00CB20D4"/>
    <w:rsid w:val="00CB251F"/>
    <w:rsid w:val="00CB2951"/>
    <w:rsid w:val="00CB342C"/>
    <w:rsid w:val="00CB3BAF"/>
    <w:rsid w:val="00CB3D60"/>
    <w:rsid w:val="00CB3F6E"/>
    <w:rsid w:val="00CB4013"/>
    <w:rsid w:val="00CB489D"/>
    <w:rsid w:val="00CB55A6"/>
    <w:rsid w:val="00CB6401"/>
    <w:rsid w:val="00CB68BC"/>
    <w:rsid w:val="00CB7529"/>
    <w:rsid w:val="00CB7A32"/>
    <w:rsid w:val="00CB7C30"/>
    <w:rsid w:val="00CB7EAC"/>
    <w:rsid w:val="00CC02A2"/>
    <w:rsid w:val="00CC0923"/>
    <w:rsid w:val="00CC0F65"/>
    <w:rsid w:val="00CC150D"/>
    <w:rsid w:val="00CC26F9"/>
    <w:rsid w:val="00CC2BA4"/>
    <w:rsid w:val="00CC35C2"/>
    <w:rsid w:val="00CC37E5"/>
    <w:rsid w:val="00CC42B4"/>
    <w:rsid w:val="00CC5171"/>
    <w:rsid w:val="00CC5816"/>
    <w:rsid w:val="00CC58B8"/>
    <w:rsid w:val="00CC647D"/>
    <w:rsid w:val="00CC65BE"/>
    <w:rsid w:val="00CC6963"/>
    <w:rsid w:val="00CC71F0"/>
    <w:rsid w:val="00CC7FD3"/>
    <w:rsid w:val="00CD03A7"/>
    <w:rsid w:val="00CD1624"/>
    <w:rsid w:val="00CD17F0"/>
    <w:rsid w:val="00CD23BF"/>
    <w:rsid w:val="00CD26BE"/>
    <w:rsid w:val="00CD282B"/>
    <w:rsid w:val="00CD328F"/>
    <w:rsid w:val="00CD3670"/>
    <w:rsid w:val="00CD4C35"/>
    <w:rsid w:val="00CD4ED7"/>
    <w:rsid w:val="00CD5CDD"/>
    <w:rsid w:val="00CD7369"/>
    <w:rsid w:val="00CD7682"/>
    <w:rsid w:val="00CD781C"/>
    <w:rsid w:val="00CE0A09"/>
    <w:rsid w:val="00CE0B0E"/>
    <w:rsid w:val="00CE1ABD"/>
    <w:rsid w:val="00CE1C5F"/>
    <w:rsid w:val="00CE1CFF"/>
    <w:rsid w:val="00CE1E1B"/>
    <w:rsid w:val="00CE1FF3"/>
    <w:rsid w:val="00CE2471"/>
    <w:rsid w:val="00CE3831"/>
    <w:rsid w:val="00CE3E23"/>
    <w:rsid w:val="00CE414D"/>
    <w:rsid w:val="00CE47AB"/>
    <w:rsid w:val="00CE5B46"/>
    <w:rsid w:val="00CE6E87"/>
    <w:rsid w:val="00CE78A6"/>
    <w:rsid w:val="00CF0649"/>
    <w:rsid w:val="00CF0BB1"/>
    <w:rsid w:val="00CF2FC7"/>
    <w:rsid w:val="00CF3AE4"/>
    <w:rsid w:val="00CF3B70"/>
    <w:rsid w:val="00CF3D96"/>
    <w:rsid w:val="00CF5E45"/>
    <w:rsid w:val="00CF73D3"/>
    <w:rsid w:val="00CF7438"/>
    <w:rsid w:val="00CF77EA"/>
    <w:rsid w:val="00CF78FF"/>
    <w:rsid w:val="00D0018B"/>
    <w:rsid w:val="00D00ABB"/>
    <w:rsid w:val="00D012C3"/>
    <w:rsid w:val="00D014B0"/>
    <w:rsid w:val="00D014FF"/>
    <w:rsid w:val="00D0278B"/>
    <w:rsid w:val="00D02B5D"/>
    <w:rsid w:val="00D02B6B"/>
    <w:rsid w:val="00D02B83"/>
    <w:rsid w:val="00D02BF2"/>
    <w:rsid w:val="00D02EEC"/>
    <w:rsid w:val="00D03551"/>
    <w:rsid w:val="00D048B7"/>
    <w:rsid w:val="00D04A95"/>
    <w:rsid w:val="00D04ABA"/>
    <w:rsid w:val="00D065B6"/>
    <w:rsid w:val="00D06A63"/>
    <w:rsid w:val="00D07E0E"/>
    <w:rsid w:val="00D07E3F"/>
    <w:rsid w:val="00D11478"/>
    <w:rsid w:val="00D11F7E"/>
    <w:rsid w:val="00D12027"/>
    <w:rsid w:val="00D12652"/>
    <w:rsid w:val="00D129F6"/>
    <w:rsid w:val="00D13820"/>
    <w:rsid w:val="00D13931"/>
    <w:rsid w:val="00D1483A"/>
    <w:rsid w:val="00D150D7"/>
    <w:rsid w:val="00D15ED0"/>
    <w:rsid w:val="00D16039"/>
    <w:rsid w:val="00D166CE"/>
    <w:rsid w:val="00D16917"/>
    <w:rsid w:val="00D17DC1"/>
    <w:rsid w:val="00D17FCB"/>
    <w:rsid w:val="00D21044"/>
    <w:rsid w:val="00D210A8"/>
    <w:rsid w:val="00D21A80"/>
    <w:rsid w:val="00D21B3E"/>
    <w:rsid w:val="00D21DF4"/>
    <w:rsid w:val="00D21FED"/>
    <w:rsid w:val="00D22DDB"/>
    <w:rsid w:val="00D232D5"/>
    <w:rsid w:val="00D234E5"/>
    <w:rsid w:val="00D23CFB"/>
    <w:rsid w:val="00D23D6E"/>
    <w:rsid w:val="00D23DAD"/>
    <w:rsid w:val="00D24251"/>
    <w:rsid w:val="00D245EA"/>
    <w:rsid w:val="00D2467C"/>
    <w:rsid w:val="00D24B0A"/>
    <w:rsid w:val="00D24D7F"/>
    <w:rsid w:val="00D24EF6"/>
    <w:rsid w:val="00D25847"/>
    <w:rsid w:val="00D25912"/>
    <w:rsid w:val="00D25C5A"/>
    <w:rsid w:val="00D261B7"/>
    <w:rsid w:val="00D268AE"/>
    <w:rsid w:val="00D270D8"/>
    <w:rsid w:val="00D27CBB"/>
    <w:rsid w:val="00D27EF0"/>
    <w:rsid w:val="00D3034C"/>
    <w:rsid w:val="00D304DF"/>
    <w:rsid w:val="00D304F5"/>
    <w:rsid w:val="00D30D8B"/>
    <w:rsid w:val="00D30FB9"/>
    <w:rsid w:val="00D33909"/>
    <w:rsid w:val="00D343E2"/>
    <w:rsid w:val="00D34470"/>
    <w:rsid w:val="00D34D26"/>
    <w:rsid w:val="00D361A2"/>
    <w:rsid w:val="00D367AB"/>
    <w:rsid w:val="00D367FB"/>
    <w:rsid w:val="00D3694A"/>
    <w:rsid w:val="00D36C1F"/>
    <w:rsid w:val="00D37AE9"/>
    <w:rsid w:val="00D37C13"/>
    <w:rsid w:val="00D4017F"/>
    <w:rsid w:val="00D40194"/>
    <w:rsid w:val="00D406A9"/>
    <w:rsid w:val="00D40D60"/>
    <w:rsid w:val="00D40FB8"/>
    <w:rsid w:val="00D4115C"/>
    <w:rsid w:val="00D412A0"/>
    <w:rsid w:val="00D4138B"/>
    <w:rsid w:val="00D41F0B"/>
    <w:rsid w:val="00D42811"/>
    <w:rsid w:val="00D42B6D"/>
    <w:rsid w:val="00D42BCB"/>
    <w:rsid w:val="00D42EC6"/>
    <w:rsid w:val="00D43726"/>
    <w:rsid w:val="00D43D31"/>
    <w:rsid w:val="00D4424F"/>
    <w:rsid w:val="00D44C2E"/>
    <w:rsid w:val="00D44F6B"/>
    <w:rsid w:val="00D450F8"/>
    <w:rsid w:val="00D45414"/>
    <w:rsid w:val="00D45452"/>
    <w:rsid w:val="00D45A97"/>
    <w:rsid w:val="00D45BCE"/>
    <w:rsid w:val="00D473E8"/>
    <w:rsid w:val="00D47E3F"/>
    <w:rsid w:val="00D512A3"/>
    <w:rsid w:val="00D5142E"/>
    <w:rsid w:val="00D5150E"/>
    <w:rsid w:val="00D5155A"/>
    <w:rsid w:val="00D51AC4"/>
    <w:rsid w:val="00D51DFD"/>
    <w:rsid w:val="00D523B6"/>
    <w:rsid w:val="00D52A3A"/>
    <w:rsid w:val="00D52C7F"/>
    <w:rsid w:val="00D52D10"/>
    <w:rsid w:val="00D53A19"/>
    <w:rsid w:val="00D53C0F"/>
    <w:rsid w:val="00D54794"/>
    <w:rsid w:val="00D54E33"/>
    <w:rsid w:val="00D55141"/>
    <w:rsid w:val="00D55CDF"/>
    <w:rsid w:val="00D55F0F"/>
    <w:rsid w:val="00D560CF"/>
    <w:rsid w:val="00D56284"/>
    <w:rsid w:val="00D566BD"/>
    <w:rsid w:val="00D56886"/>
    <w:rsid w:val="00D56F7B"/>
    <w:rsid w:val="00D57066"/>
    <w:rsid w:val="00D5746E"/>
    <w:rsid w:val="00D57620"/>
    <w:rsid w:val="00D57684"/>
    <w:rsid w:val="00D57A4D"/>
    <w:rsid w:val="00D57C82"/>
    <w:rsid w:val="00D60293"/>
    <w:rsid w:val="00D60AA7"/>
    <w:rsid w:val="00D60D87"/>
    <w:rsid w:val="00D61032"/>
    <w:rsid w:val="00D61A69"/>
    <w:rsid w:val="00D61BBE"/>
    <w:rsid w:val="00D62199"/>
    <w:rsid w:val="00D62CD9"/>
    <w:rsid w:val="00D638DC"/>
    <w:rsid w:val="00D639FC"/>
    <w:rsid w:val="00D6435F"/>
    <w:rsid w:val="00D6452C"/>
    <w:rsid w:val="00D64968"/>
    <w:rsid w:val="00D6528C"/>
    <w:rsid w:val="00D658DE"/>
    <w:rsid w:val="00D65B96"/>
    <w:rsid w:val="00D6663D"/>
    <w:rsid w:val="00D66E46"/>
    <w:rsid w:val="00D671EF"/>
    <w:rsid w:val="00D7088A"/>
    <w:rsid w:val="00D70C74"/>
    <w:rsid w:val="00D72711"/>
    <w:rsid w:val="00D72DE4"/>
    <w:rsid w:val="00D74845"/>
    <w:rsid w:val="00D75224"/>
    <w:rsid w:val="00D754EC"/>
    <w:rsid w:val="00D75E28"/>
    <w:rsid w:val="00D772C2"/>
    <w:rsid w:val="00D77771"/>
    <w:rsid w:val="00D77EF8"/>
    <w:rsid w:val="00D8008E"/>
    <w:rsid w:val="00D81B8E"/>
    <w:rsid w:val="00D81CF8"/>
    <w:rsid w:val="00D82690"/>
    <w:rsid w:val="00D82C45"/>
    <w:rsid w:val="00D83202"/>
    <w:rsid w:val="00D835EA"/>
    <w:rsid w:val="00D83D9F"/>
    <w:rsid w:val="00D8452F"/>
    <w:rsid w:val="00D84931"/>
    <w:rsid w:val="00D84DCC"/>
    <w:rsid w:val="00D84E92"/>
    <w:rsid w:val="00D8567B"/>
    <w:rsid w:val="00D8588B"/>
    <w:rsid w:val="00D86161"/>
    <w:rsid w:val="00D8719E"/>
    <w:rsid w:val="00D87230"/>
    <w:rsid w:val="00D877F3"/>
    <w:rsid w:val="00D908A8"/>
    <w:rsid w:val="00D90963"/>
    <w:rsid w:val="00D90BE8"/>
    <w:rsid w:val="00D9156F"/>
    <w:rsid w:val="00D91682"/>
    <w:rsid w:val="00D929E9"/>
    <w:rsid w:val="00D92E33"/>
    <w:rsid w:val="00D9320A"/>
    <w:rsid w:val="00D9334D"/>
    <w:rsid w:val="00D9343F"/>
    <w:rsid w:val="00D93474"/>
    <w:rsid w:val="00D935AB"/>
    <w:rsid w:val="00D939DC"/>
    <w:rsid w:val="00D93B83"/>
    <w:rsid w:val="00D93E5F"/>
    <w:rsid w:val="00D941B3"/>
    <w:rsid w:val="00D95284"/>
    <w:rsid w:val="00D9555A"/>
    <w:rsid w:val="00D95CA1"/>
    <w:rsid w:val="00D965B4"/>
    <w:rsid w:val="00D96729"/>
    <w:rsid w:val="00D96C9E"/>
    <w:rsid w:val="00D977B6"/>
    <w:rsid w:val="00D97DE9"/>
    <w:rsid w:val="00DA03E9"/>
    <w:rsid w:val="00DA050E"/>
    <w:rsid w:val="00DA0A0B"/>
    <w:rsid w:val="00DA1FE1"/>
    <w:rsid w:val="00DA2032"/>
    <w:rsid w:val="00DA2355"/>
    <w:rsid w:val="00DA2390"/>
    <w:rsid w:val="00DA2E7F"/>
    <w:rsid w:val="00DA3A8D"/>
    <w:rsid w:val="00DA4A31"/>
    <w:rsid w:val="00DA4C69"/>
    <w:rsid w:val="00DA5431"/>
    <w:rsid w:val="00DA59DE"/>
    <w:rsid w:val="00DA5E95"/>
    <w:rsid w:val="00DA5EB9"/>
    <w:rsid w:val="00DA61F2"/>
    <w:rsid w:val="00DA6A0A"/>
    <w:rsid w:val="00DA7B04"/>
    <w:rsid w:val="00DA7B94"/>
    <w:rsid w:val="00DB022A"/>
    <w:rsid w:val="00DB040C"/>
    <w:rsid w:val="00DB05BC"/>
    <w:rsid w:val="00DB071D"/>
    <w:rsid w:val="00DB0874"/>
    <w:rsid w:val="00DB099D"/>
    <w:rsid w:val="00DB0DB8"/>
    <w:rsid w:val="00DB1433"/>
    <w:rsid w:val="00DB2094"/>
    <w:rsid w:val="00DB2B89"/>
    <w:rsid w:val="00DB35AD"/>
    <w:rsid w:val="00DB36C2"/>
    <w:rsid w:val="00DB3C15"/>
    <w:rsid w:val="00DB48B2"/>
    <w:rsid w:val="00DB6458"/>
    <w:rsid w:val="00DB667D"/>
    <w:rsid w:val="00DB7196"/>
    <w:rsid w:val="00DB7596"/>
    <w:rsid w:val="00DB79BA"/>
    <w:rsid w:val="00DC0A81"/>
    <w:rsid w:val="00DC169B"/>
    <w:rsid w:val="00DC1D67"/>
    <w:rsid w:val="00DC1F9C"/>
    <w:rsid w:val="00DC1FF3"/>
    <w:rsid w:val="00DC213C"/>
    <w:rsid w:val="00DC2AB9"/>
    <w:rsid w:val="00DC2C5D"/>
    <w:rsid w:val="00DC327C"/>
    <w:rsid w:val="00DC4004"/>
    <w:rsid w:val="00DC48F2"/>
    <w:rsid w:val="00DC4BB3"/>
    <w:rsid w:val="00DC4E8B"/>
    <w:rsid w:val="00DC50CC"/>
    <w:rsid w:val="00DC5A7D"/>
    <w:rsid w:val="00DC5ADC"/>
    <w:rsid w:val="00DC5C48"/>
    <w:rsid w:val="00DC63F0"/>
    <w:rsid w:val="00DC65FF"/>
    <w:rsid w:val="00DC7091"/>
    <w:rsid w:val="00DC70B8"/>
    <w:rsid w:val="00DC7CBC"/>
    <w:rsid w:val="00DD00D7"/>
    <w:rsid w:val="00DD1354"/>
    <w:rsid w:val="00DD2215"/>
    <w:rsid w:val="00DD2ACB"/>
    <w:rsid w:val="00DD3CFA"/>
    <w:rsid w:val="00DD486B"/>
    <w:rsid w:val="00DD4AB5"/>
    <w:rsid w:val="00DD672B"/>
    <w:rsid w:val="00DD6EE5"/>
    <w:rsid w:val="00DD720F"/>
    <w:rsid w:val="00DD766E"/>
    <w:rsid w:val="00DD76E4"/>
    <w:rsid w:val="00DE034F"/>
    <w:rsid w:val="00DE0598"/>
    <w:rsid w:val="00DE0DDC"/>
    <w:rsid w:val="00DE1B46"/>
    <w:rsid w:val="00DE1B8E"/>
    <w:rsid w:val="00DE269C"/>
    <w:rsid w:val="00DE2E3D"/>
    <w:rsid w:val="00DE34FA"/>
    <w:rsid w:val="00DE386C"/>
    <w:rsid w:val="00DE4960"/>
    <w:rsid w:val="00DE4D35"/>
    <w:rsid w:val="00DE5CF2"/>
    <w:rsid w:val="00DE66FE"/>
    <w:rsid w:val="00DE6D70"/>
    <w:rsid w:val="00DF0549"/>
    <w:rsid w:val="00DF098B"/>
    <w:rsid w:val="00DF11C4"/>
    <w:rsid w:val="00DF16D4"/>
    <w:rsid w:val="00DF18B4"/>
    <w:rsid w:val="00DF209D"/>
    <w:rsid w:val="00DF210C"/>
    <w:rsid w:val="00DF33A3"/>
    <w:rsid w:val="00DF358D"/>
    <w:rsid w:val="00DF4B6A"/>
    <w:rsid w:val="00DF59D0"/>
    <w:rsid w:val="00DF59EC"/>
    <w:rsid w:val="00DF5FCE"/>
    <w:rsid w:val="00DF6019"/>
    <w:rsid w:val="00DF6069"/>
    <w:rsid w:val="00DF61C3"/>
    <w:rsid w:val="00DF653A"/>
    <w:rsid w:val="00DF67B0"/>
    <w:rsid w:val="00DF69E3"/>
    <w:rsid w:val="00DF774F"/>
    <w:rsid w:val="00DF78EF"/>
    <w:rsid w:val="00E00C95"/>
    <w:rsid w:val="00E01030"/>
    <w:rsid w:val="00E019B9"/>
    <w:rsid w:val="00E02C09"/>
    <w:rsid w:val="00E02E06"/>
    <w:rsid w:val="00E03561"/>
    <w:rsid w:val="00E03673"/>
    <w:rsid w:val="00E0434A"/>
    <w:rsid w:val="00E04B6F"/>
    <w:rsid w:val="00E04BAD"/>
    <w:rsid w:val="00E04D59"/>
    <w:rsid w:val="00E0744D"/>
    <w:rsid w:val="00E07586"/>
    <w:rsid w:val="00E07638"/>
    <w:rsid w:val="00E07762"/>
    <w:rsid w:val="00E07DA1"/>
    <w:rsid w:val="00E07DDC"/>
    <w:rsid w:val="00E123CB"/>
    <w:rsid w:val="00E125DA"/>
    <w:rsid w:val="00E12E2B"/>
    <w:rsid w:val="00E13A53"/>
    <w:rsid w:val="00E13AE9"/>
    <w:rsid w:val="00E15067"/>
    <w:rsid w:val="00E1557C"/>
    <w:rsid w:val="00E15B7F"/>
    <w:rsid w:val="00E163E7"/>
    <w:rsid w:val="00E165CB"/>
    <w:rsid w:val="00E16A3C"/>
    <w:rsid w:val="00E20AE2"/>
    <w:rsid w:val="00E20E13"/>
    <w:rsid w:val="00E21DBC"/>
    <w:rsid w:val="00E227FE"/>
    <w:rsid w:val="00E22ECE"/>
    <w:rsid w:val="00E22ED0"/>
    <w:rsid w:val="00E237C2"/>
    <w:rsid w:val="00E23E70"/>
    <w:rsid w:val="00E244DC"/>
    <w:rsid w:val="00E2469D"/>
    <w:rsid w:val="00E269DE"/>
    <w:rsid w:val="00E26AB6"/>
    <w:rsid w:val="00E275D7"/>
    <w:rsid w:val="00E27DBE"/>
    <w:rsid w:val="00E30969"/>
    <w:rsid w:val="00E31200"/>
    <w:rsid w:val="00E3163A"/>
    <w:rsid w:val="00E31E72"/>
    <w:rsid w:val="00E32777"/>
    <w:rsid w:val="00E32AB1"/>
    <w:rsid w:val="00E32AD9"/>
    <w:rsid w:val="00E3440B"/>
    <w:rsid w:val="00E34868"/>
    <w:rsid w:val="00E35FBE"/>
    <w:rsid w:val="00E36539"/>
    <w:rsid w:val="00E36C71"/>
    <w:rsid w:val="00E3709F"/>
    <w:rsid w:val="00E3789E"/>
    <w:rsid w:val="00E40404"/>
    <w:rsid w:val="00E42E30"/>
    <w:rsid w:val="00E442B2"/>
    <w:rsid w:val="00E44860"/>
    <w:rsid w:val="00E4528E"/>
    <w:rsid w:val="00E457A9"/>
    <w:rsid w:val="00E459C6"/>
    <w:rsid w:val="00E46204"/>
    <w:rsid w:val="00E470A4"/>
    <w:rsid w:val="00E47589"/>
    <w:rsid w:val="00E47669"/>
    <w:rsid w:val="00E504AB"/>
    <w:rsid w:val="00E50C56"/>
    <w:rsid w:val="00E50EE5"/>
    <w:rsid w:val="00E51CB4"/>
    <w:rsid w:val="00E522B3"/>
    <w:rsid w:val="00E52DEB"/>
    <w:rsid w:val="00E536D9"/>
    <w:rsid w:val="00E53814"/>
    <w:rsid w:val="00E54587"/>
    <w:rsid w:val="00E549B8"/>
    <w:rsid w:val="00E55396"/>
    <w:rsid w:val="00E5556A"/>
    <w:rsid w:val="00E5564C"/>
    <w:rsid w:val="00E5705C"/>
    <w:rsid w:val="00E57E18"/>
    <w:rsid w:val="00E6011D"/>
    <w:rsid w:val="00E601C7"/>
    <w:rsid w:val="00E60892"/>
    <w:rsid w:val="00E61579"/>
    <w:rsid w:val="00E6192D"/>
    <w:rsid w:val="00E625C6"/>
    <w:rsid w:val="00E62D60"/>
    <w:rsid w:val="00E632ED"/>
    <w:rsid w:val="00E635F3"/>
    <w:rsid w:val="00E64915"/>
    <w:rsid w:val="00E6494E"/>
    <w:rsid w:val="00E64EEC"/>
    <w:rsid w:val="00E652EE"/>
    <w:rsid w:val="00E65D47"/>
    <w:rsid w:val="00E661D4"/>
    <w:rsid w:val="00E66863"/>
    <w:rsid w:val="00E677A1"/>
    <w:rsid w:val="00E70091"/>
    <w:rsid w:val="00E700C2"/>
    <w:rsid w:val="00E70C56"/>
    <w:rsid w:val="00E70D8D"/>
    <w:rsid w:val="00E715C6"/>
    <w:rsid w:val="00E71F9C"/>
    <w:rsid w:val="00E720F5"/>
    <w:rsid w:val="00E721B9"/>
    <w:rsid w:val="00E72693"/>
    <w:rsid w:val="00E7310F"/>
    <w:rsid w:val="00E73AE4"/>
    <w:rsid w:val="00E73C12"/>
    <w:rsid w:val="00E7463E"/>
    <w:rsid w:val="00E7483D"/>
    <w:rsid w:val="00E74C2C"/>
    <w:rsid w:val="00E74E8A"/>
    <w:rsid w:val="00E756CF"/>
    <w:rsid w:val="00E76D47"/>
    <w:rsid w:val="00E7712D"/>
    <w:rsid w:val="00E778C7"/>
    <w:rsid w:val="00E80540"/>
    <w:rsid w:val="00E816B8"/>
    <w:rsid w:val="00E81F1E"/>
    <w:rsid w:val="00E8201F"/>
    <w:rsid w:val="00E827DC"/>
    <w:rsid w:val="00E82983"/>
    <w:rsid w:val="00E83B75"/>
    <w:rsid w:val="00E849F7"/>
    <w:rsid w:val="00E84CCA"/>
    <w:rsid w:val="00E84F2E"/>
    <w:rsid w:val="00E84FDA"/>
    <w:rsid w:val="00E85223"/>
    <w:rsid w:val="00E85B27"/>
    <w:rsid w:val="00E86CAD"/>
    <w:rsid w:val="00E86CF3"/>
    <w:rsid w:val="00E87AF1"/>
    <w:rsid w:val="00E87D94"/>
    <w:rsid w:val="00E87F37"/>
    <w:rsid w:val="00E90302"/>
    <w:rsid w:val="00E90D7B"/>
    <w:rsid w:val="00E90F24"/>
    <w:rsid w:val="00E9139A"/>
    <w:rsid w:val="00E913F3"/>
    <w:rsid w:val="00E91B96"/>
    <w:rsid w:val="00E91CFC"/>
    <w:rsid w:val="00E926BB"/>
    <w:rsid w:val="00E92B37"/>
    <w:rsid w:val="00E9305E"/>
    <w:rsid w:val="00E9452F"/>
    <w:rsid w:val="00E95944"/>
    <w:rsid w:val="00E9597F"/>
    <w:rsid w:val="00E96CE6"/>
    <w:rsid w:val="00E96E6A"/>
    <w:rsid w:val="00E97396"/>
    <w:rsid w:val="00E976D1"/>
    <w:rsid w:val="00E97D87"/>
    <w:rsid w:val="00E97F22"/>
    <w:rsid w:val="00EA05FB"/>
    <w:rsid w:val="00EA0983"/>
    <w:rsid w:val="00EA185E"/>
    <w:rsid w:val="00EA1DDD"/>
    <w:rsid w:val="00EA240E"/>
    <w:rsid w:val="00EA2438"/>
    <w:rsid w:val="00EA32BC"/>
    <w:rsid w:val="00EA3A91"/>
    <w:rsid w:val="00EA4770"/>
    <w:rsid w:val="00EA47E5"/>
    <w:rsid w:val="00EA531B"/>
    <w:rsid w:val="00EA5427"/>
    <w:rsid w:val="00EA592A"/>
    <w:rsid w:val="00EA63E6"/>
    <w:rsid w:val="00EA668F"/>
    <w:rsid w:val="00EA67E6"/>
    <w:rsid w:val="00EA6A1B"/>
    <w:rsid w:val="00EA6BA0"/>
    <w:rsid w:val="00EA766D"/>
    <w:rsid w:val="00EA7BE9"/>
    <w:rsid w:val="00EB00EC"/>
    <w:rsid w:val="00EB02B8"/>
    <w:rsid w:val="00EB0472"/>
    <w:rsid w:val="00EB04E7"/>
    <w:rsid w:val="00EB0D9B"/>
    <w:rsid w:val="00EB14E4"/>
    <w:rsid w:val="00EB1889"/>
    <w:rsid w:val="00EB21A7"/>
    <w:rsid w:val="00EB2238"/>
    <w:rsid w:val="00EB311E"/>
    <w:rsid w:val="00EB32A5"/>
    <w:rsid w:val="00EB3452"/>
    <w:rsid w:val="00EB34C2"/>
    <w:rsid w:val="00EB34ED"/>
    <w:rsid w:val="00EB37A1"/>
    <w:rsid w:val="00EB3BFE"/>
    <w:rsid w:val="00EB3E63"/>
    <w:rsid w:val="00EB3FDF"/>
    <w:rsid w:val="00EB4970"/>
    <w:rsid w:val="00EB498D"/>
    <w:rsid w:val="00EB55FA"/>
    <w:rsid w:val="00EB58E6"/>
    <w:rsid w:val="00EB60EF"/>
    <w:rsid w:val="00EB6AB9"/>
    <w:rsid w:val="00EB6D68"/>
    <w:rsid w:val="00EB7BE0"/>
    <w:rsid w:val="00EC0593"/>
    <w:rsid w:val="00EC0A6A"/>
    <w:rsid w:val="00EC1DC5"/>
    <w:rsid w:val="00EC2165"/>
    <w:rsid w:val="00EC282D"/>
    <w:rsid w:val="00EC284B"/>
    <w:rsid w:val="00EC2A6C"/>
    <w:rsid w:val="00EC311F"/>
    <w:rsid w:val="00EC315E"/>
    <w:rsid w:val="00EC3743"/>
    <w:rsid w:val="00EC475D"/>
    <w:rsid w:val="00EC538A"/>
    <w:rsid w:val="00EC5566"/>
    <w:rsid w:val="00EC5C43"/>
    <w:rsid w:val="00EC634B"/>
    <w:rsid w:val="00EC69B6"/>
    <w:rsid w:val="00EC728F"/>
    <w:rsid w:val="00EC7E56"/>
    <w:rsid w:val="00EC7F47"/>
    <w:rsid w:val="00ED077C"/>
    <w:rsid w:val="00ED0842"/>
    <w:rsid w:val="00ED0B4E"/>
    <w:rsid w:val="00ED0DC1"/>
    <w:rsid w:val="00ED0F81"/>
    <w:rsid w:val="00ED1190"/>
    <w:rsid w:val="00ED1D07"/>
    <w:rsid w:val="00ED3081"/>
    <w:rsid w:val="00ED3A1B"/>
    <w:rsid w:val="00ED3B12"/>
    <w:rsid w:val="00ED3CF6"/>
    <w:rsid w:val="00ED503E"/>
    <w:rsid w:val="00ED5141"/>
    <w:rsid w:val="00ED545D"/>
    <w:rsid w:val="00ED554D"/>
    <w:rsid w:val="00ED55C9"/>
    <w:rsid w:val="00ED608A"/>
    <w:rsid w:val="00ED6544"/>
    <w:rsid w:val="00ED711B"/>
    <w:rsid w:val="00ED76B6"/>
    <w:rsid w:val="00EE0277"/>
    <w:rsid w:val="00EE18A7"/>
    <w:rsid w:val="00EE1DA9"/>
    <w:rsid w:val="00EE2803"/>
    <w:rsid w:val="00EE344D"/>
    <w:rsid w:val="00EE3763"/>
    <w:rsid w:val="00EE3E00"/>
    <w:rsid w:val="00EE4146"/>
    <w:rsid w:val="00EE418A"/>
    <w:rsid w:val="00EE436B"/>
    <w:rsid w:val="00EE4D63"/>
    <w:rsid w:val="00EE5241"/>
    <w:rsid w:val="00EE5DD2"/>
    <w:rsid w:val="00EE5EAB"/>
    <w:rsid w:val="00EE60FC"/>
    <w:rsid w:val="00EE6167"/>
    <w:rsid w:val="00EE6E7F"/>
    <w:rsid w:val="00EE717C"/>
    <w:rsid w:val="00EE785B"/>
    <w:rsid w:val="00EE7962"/>
    <w:rsid w:val="00EE7CFF"/>
    <w:rsid w:val="00EF08C1"/>
    <w:rsid w:val="00EF0927"/>
    <w:rsid w:val="00EF0CE5"/>
    <w:rsid w:val="00EF12A3"/>
    <w:rsid w:val="00EF1523"/>
    <w:rsid w:val="00EF1A15"/>
    <w:rsid w:val="00EF1BFC"/>
    <w:rsid w:val="00EF1F0A"/>
    <w:rsid w:val="00EF1F95"/>
    <w:rsid w:val="00EF3103"/>
    <w:rsid w:val="00EF397A"/>
    <w:rsid w:val="00EF41F1"/>
    <w:rsid w:val="00EF4536"/>
    <w:rsid w:val="00EF4721"/>
    <w:rsid w:val="00EF47A1"/>
    <w:rsid w:val="00EF4F08"/>
    <w:rsid w:val="00EF5E8E"/>
    <w:rsid w:val="00EF62B3"/>
    <w:rsid w:val="00EF75A0"/>
    <w:rsid w:val="00EF7906"/>
    <w:rsid w:val="00EF7A8F"/>
    <w:rsid w:val="00F001C9"/>
    <w:rsid w:val="00F00A79"/>
    <w:rsid w:val="00F00CF6"/>
    <w:rsid w:val="00F00E86"/>
    <w:rsid w:val="00F00F72"/>
    <w:rsid w:val="00F00F8B"/>
    <w:rsid w:val="00F01469"/>
    <w:rsid w:val="00F01C6E"/>
    <w:rsid w:val="00F01CF4"/>
    <w:rsid w:val="00F01E69"/>
    <w:rsid w:val="00F0263C"/>
    <w:rsid w:val="00F02CC5"/>
    <w:rsid w:val="00F030AC"/>
    <w:rsid w:val="00F0336E"/>
    <w:rsid w:val="00F03B3F"/>
    <w:rsid w:val="00F04485"/>
    <w:rsid w:val="00F07365"/>
    <w:rsid w:val="00F079C0"/>
    <w:rsid w:val="00F07C1E"/>
    <w:rsid w:val="00F10155"/>
    <w:rsid w:val="00F105DB"/>
    <w:rsid w:val="00F11859"/>
    <w:rsid w:val="00F120E2"/>
    <w:rsid w:val="00F12397"/>
    <w:rsid w:val="00F12E8A"/>
    <w:rsid w:val="00F132BC"/>
    <w:rsid w:val="00F13764"/>
    <w:rsid w:val="00F13D80"/>
    <w:rsid w:val="00F13E55"/>
    <w:rsid w:val="00F14419"/>
    <w:rsid w:val="00F14CC8"/>
    <w:rsid w:val="00F15D4D"/>
    <w:rsid w:val="00F15F4E"/>
    <w:rsid w:val="00F16AAA"/>
    <w:rsid w:val="00F16CA3"/>
    <w:rsid w:val="00F17705"/>
    <w:rsid w:val="00F17BC8"/>
    <w:rsid w:val="00F2004C"/>
    <w:rsid w:val="00F21161"/>
    <w:rsid w:val="00F2161A"/>
    <w:rsid w:val="00F218EF"/>
    <w:rsid w:val="00F21BC7"/>
    <w:rsid w:val="00F2244E"/>
    <w:rsid w:val="00F224D7"/>
    <w:rsid w:val="00F224EB"/>
    <w:rsid w:val="00F231DE"/>
    <w:rsid w:val="00F23498"/>
    <w:rsid w:val="00F23D3B"/>
    <w:rsid w:val="00F24130"/>
    <w:rsid w:val="00F2595B"/>
    <w:rsid w:val="00F25AB4"/>
    <w:rsid w:val="00F266A2"/>
    <w:rsid w:val="00F2676F"/>
    <w:rsid w:val="00F276AC"/>
    <w:rsid w:val="00F30174"/>
    <w:rsid w:val="00F30880"/>
    <w:rsid w:val="00F32269"/>
    <w:rsid w:val="00F3255E"/>
    <w:rsid w:val="00F32D61"/>
    <w:rsid w:val="00F33E92"/>
    <w:rsid w:val="00F34D84"/>
    <w:rsid w:val="00F35405"/>
    <w:rsid w:val="00F3551C"/>
    <w:rsid w:val="00F35F84"/>
    <w:rsid w:val="00F3711C"/>
    <w:rsid w:val="00F409E5"/>
    <w:rsid w:val="00F40CD3"/>
    <w:rsid w:val="00F40FC8"/>
    <w:rsid w:val="00F42802"/>
    <w:rsid w:val="00F437CB"/>
    <w:rsid w:val="00F43859"/>
    <w:rsid w:val="00F43C6A"/>
    <w:rsid w:val="00F440B7"/>
    <w:rsid w:val="00F4457E"/>
    <w:rsid w:val="00F44A7A"/>
    <w:rsid w:val="00F45CAB"/>
    <w:rsid w:val="00F45F02"/>
    <w:rsid w:val="00F46DE1"/>
    <w:rsid w:val="00F470C0"/>
    <w:rsid w:val="00F47159"/>
    <w:rsid w:val="00F47B61"/>
    <w:rsid w:val="00F50F64"/>
    <w:rsid w:val="00F513DD"/>
    <w:rsid w:val="00F51BB2"/>
    <w:rsid w:val="00F5280B"/>
    <w:rsid w:val="00F53E6A"/>
    <w:rsid w:val="00F54049"/>
    <w:rsid w:val="00F54392"/>
    <w:rsid w:val="00F54BA3"/>
    <w:rsid w:val="00F54EE8"/>
    <w:rsid w:val="00F55923"/>
    <w:rsid w:val="00F55C3F"/>
    <w:rsid w:val="00F56223"/>
    <w:rsid w:val="00F565E8"/>
    <w:rsid w:val="00F56A6F"/>
    <w:rsid w:val="00F56EAC"/>
    <w:rsid w:val="00F5709C"/>
    <w:rsid w:val="00F603A0"/>
    <w:rsid w:val="00F608C1"/>
    <w:rsid w:val="00F61BBE"/>
    <w:rsid w:val="00F61E6C"/>
    <w:rsid w:val="00F6228A"/>
    <w:rsid w:val="00F627B3"/>
    <w:rsid w:val="00F636C0"/>
    <w:rsid w:val="00F6381D"/>
    <w:rsid w:val="00F63F14"/>
    <w:rsid w:val="00F642F0"/>
    <w:rsid w:val="00F6456B"/>
    <w:rsid w:val="00F64EF1"/>
    <w:rsid w:val="00F653E5"/>
    <w:rsid w:val="00F662B9"/>
    <w:rsid w:val="00F6674B"/>
    <w:rsid w:val="00F66826"/>
    <w:rsid w:val="00F67159"/>
    <w:rsid w:val="00F6734C"/>
    <w:rsid w:val="00F679E6"/>
    <w:rsid w:val="00F710AD"/>
    <w:rsid w:val="00F71BC3"/>
    <w:rsid w:val="00F71EA3"/>
    <w:rsid w:val="00F72840"/>
    <w:rsid w:val="00F72DE2"/>
    <w:rsid w:val="00F7310F"/>
    <w:rsid w:val="00F738DC"/>
    <w:rsid w:val="00F73D31"/>
    <w:rsid w:val="00F7482B"/>
    <w:rsid w:val="00F75895"/>
    <w:rsid w:val="00F766A6"/>
    <w:rsid w:val="00F767B5"/>
    <w:rsid w:val="00F7685B"/>
    <w:rsid w:val="00F77FDD"/>
    <w:rsid w:val="00F8035D"/>
    <w:rsid w:val="00F81183"/>
    <w:rsid w:val="00F81329"/>
    <w:rsid w:val="00F81B3D"/>
    <w:rsid w:val="00F8211A"/>
    <w:rsid w:val="00F82262"/>
    <w:rsid w:val="00F8233F"/>
    <w:rsid w:val="00F82581"/>
    <w:rsid w:val="00F835E8"/>
    <w:rsid w:val="00F83836"/>
    <w:rsid w:val="00F838FC"/>
    <w:rsid w:val="00F83989"/>
    <w:rsid w:val="00F83C50"/>
    <w:rsid w:val="00F8445D"/>
    <w:rsid w:val="00F85155"/>
    <w:rsid w:val="00F85484"/>
    <w:rsid w:val="00F8587C"/>
    <w:rsid w:val="00F85E76"/>
    <w:rsid w:val="00F8632D"/>
    <w:rsid w:val="00F86896"/>
    <w:rsid w:val="00F86D55"/>
    <w:rsid w:val="00F8704F"/>
    <w:rsid w:val="00F8765F"/>
    <w:rsid w:val="00F8794A"/>
    <w:rsid w:val="00F87EAF"/>
    <w:rsid w:val="00F87F38"/>
    <w:rsid w:val="00F87F45"/>
    <w:rsid w:val="00F90381"/>
    <w:rsid w:val="00F90761"/>
    <w:rsid w:val="00F90767"/>
    <w:rsid w:val="00F91C56"/>
    <w:rsid w:val="00F92A19"/>
    <w:rsid w:val="00F92F84"/>
    <w:rsid w:val="00F92FCE"/>
    <w:rsid w:val="00F94790"/>
    <w:rsid w:val="00F94AF9"/>
    <w:rsid w:val="00F94E23"/>
    <w:rsid w:val="00F95A96"/>
    <w:rsid w:val="00F95CDA"/>
    <w:rsid w:val="00F95E46"/>
    <w:rsid w:val="00F96AC8"/>
    <w:rsid w:val="00F96CEB"/>
    <w:rsid w:val="00F96F28"/>
    <w:rsid w:val="00F97400"/>
    <w:rsid w:val="00F9797F"/>
    <w:rsid w:val="00FA0A67"/>
    <w:rsid w:val="00FA0AA7"/>
    <w:rsid w:val="00FA0E5E"/>
    <w:rsid w:val="00FA1312"/>
    <w:rsid w:val="00FA256D"/>
    <w:rsid w:val="00FA2A1D"/>
    <w:rsid w:val="00FA31D7"/>
    <w:rsid w:val="00FA4645"/>
    <w:rsid w:val="00FA4A11"/>
    <w:rsid w:val="00FA501F"/>
    <w:rsid w:val="00FA5312"/>
    <w:rsid w:val="00FA57AE"/>
    <w:rsid w:val="00FA5B1E"/>
    <w:rsid w:val="00FA685B"/>
    <w:rsid w:val="00FA6C47"/>
    <w:rsid w:val="00FA6CD5"/>
    <w:rsid w:val="00FA7216"/>
    <w:rsid w:val="00FA7442"/>
    <w:rsid w:val="00FB0AA3"/>
    <w:rsid w:val="00FB0C01"/>
    <w:rsid w:val="00FB224B"/>
    <w:rsid w:val="00FB2E6C"/>
    <w:rsid w:val="00FB327A"/>
    <w:rsid w:val="00FB3442"/>
    <w:rsid w:val="00FB3DE9"/>
    <w:rsid w:val="00FB56B7"/>
    <w:rsid w:val="00FB59A1"/>
    <w:rsid w:val="00FB6EA9"/>
    <w:rsid w:val="00FC00ED"/>
    <w:rsid w:val="00FC018C"/>
    <w:rsid w:val="00FC05E7"/>
    <w:rsid w:val="00FC18F2"/>
    <w:rsid w:val="00FC1C98"/>
    <w:rsid w:val="00FC20F4"/>
    <w:rsid w:val="00FC2105"/>
    <w:rsid w:val="00FC22DF"/>
    <w:rsid w:val="00FC2C46"/>
    <w:rsid w:val="00FC3690"/>
    <w:rsid w:val="00FC39E5"/>
    <w:rsid w:val="00FC3A78"/>
    <w:rsid w:val="00FC4496"/>
    <w:rsid w:val="00FC5C71"/>
    <w:rsid w:val="00FC5D6E"/>
    <w:rsid w:val="00FC5FFE"/>
    <w:rsid w:val="00FC6390"/>
    <w:rsid w:val="00FD0098"/>
    <w:rsid w:val="00FD1005"/>
    <w:rsid w:val="00FD1EDF"/>
    <w:rsid w:val="00FD2BFD"/>
    <w:rsid w:val="00FD2FB9"/>
    <w:rsid w:val="00FD3076"/>
    <w:rsid w:val="00FD3180"/>
    <w:rsid w:val="00FD3551"/>
    <w:rsid w:val="00FD3AC2"/>
    <w:rsid w:val="00FD3B04"/>
    <w:rsid w:val="00FD3EDB"/>
    <w:rsid w:val="00FD40C5"/>
    <w:rsid w:val="00FD44AC"/>
    <w:rsid w:val="00FD47F8"/>
    <w:rsid w:val="00FD5423"/>
    <w:rsid w:val="00FD574B"/>
    <w:rsid w:val="00FD575F"/>
    <w:rsid w:val="00FD5E0E"/>
    <w:rsid w:val="00FD6364"/>
    <w:rsid w:val="00FD63E6"/>
    <w:rsid w:val="00FD6C75"/>
    <w:rsid w:val="00FD7940"/>
    <w:rsid w:val="00FD79A9"/>
    <w:rsid w:val="00FD7EC5"/>
    <w:rsid w:val="00FE02CD"/>
    <w:rsid w:val="00FE0A3D"/>
    <w:rsid w:val="00FE284E"/>
    <w:rsid w:val="00FE455F"/>
    <w:rsid w:val="00FE4A12"/>
    <w:rsid w:val="00FE4B31"/>
    <w:rsid w:val="00FE52E5"/>
    <w:rsid w:val="00FE5E67"/>
    <w:rsid w:val="00FE661D"/>
    <w:rsid w:val="00FE71B3"/>
    <w:rsid w:val="00FE77BF"/>
    <w:rsid w:val="00FE7C66"/>
    <w:rsid w:val="00FF049E"/>
    <w:rsid w:val="00FF0C13"/>
    <w:rsid w:val="00FF0DAA"/>
    <w:rsid w:val="00FF13A7"/>
    <w:rsid w:val="00FF27D3"/>
    <w:rsid w:val="00FF3503"/>
    <w:rsid w:val="00FF39C8"/>
    <w:rsid w:val="00FF42C5"/>
    <w:rsid w:val="00FF517E"/>
    <w:rsid w:val="00FF5A0F"/>
    <w:rsid w:val="00FF6093"/>
    <w:rsid w:val="00FF64D5"/>
    <w:rsid w:val="00FF6CA2"/>
    <w:rsid w:val="00FF7532"/>
    <w:rsid w:val="00FF7B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CF78FF"/>
    <w:pPr>
      <w:jc w:val="both"/>
    </w:pPr>
    <w:rPr>
      <w:rFonts w:eastAsiaTheme="minorEastAsia"/>
      <w:sz w:val="24"/>
    </w:rPr>
  </w:style>
  <w:style w:type="paragraph" w:styleId="Titolo1">
    <w:name w:val="heading 1"/>
    <w:basedOn w:val="Normale"/>
    <w:next w:val="Normale"/>
    <w:link w:val="Titolo1Carattere"/>
    <w:uiPriority w:val="99"/>
    <w:semiHidden/>
    <w:rsid w:val="00CF78F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CF78F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CF78FF"/>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CF78FF"/>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0038B"/>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CF78F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0038B"/>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10038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0038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F78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8FF"/>
    <w:rPr>
      <w:rFonts w:ascii="Tahoma" w:eastAsiaTheme="minorEastAsia" w:hAnsi="Tahoma" w:cs="Tahoma"/>
      <w:sz w:val="16"/>
      <w:szCs w:val="16"/>
    </w:rPr>
  </w:style>
  <w:style w:type="character" w:styleId="Titolodellibro">
    <w:name w:val="Book Title"/>
    <w:uiPriority w:val="99"/>
    <w:semiHidden/>
    <w:qFormat/>
    <w:rsid w:val="0010038B"/>
    <w:rPr>
      <w:i/>
      <w:iCs/>
      <w:smallCaps/>
      <w:spacing w:val="5"/>
    </w:rPr>
  </w:style>
  <w:style w:type="paragraph" w:customStyle="1" w:styleId="ECHRHeader">
    <w:name w:val="ECHR_Header"/>
    <w:aliases w:val="Ju_Header"/>
    <w:basedOn w:val="Intestazione"/>
    <w:uiPriority w:val="4"/>
    <w:qFormat/>
    <w:rsid w:val="0010038B"/>
    <w:pPr>
      <w:tabs>
        <w:tab w:val="clear" w:pos="4536"/>
        <w:tab w:val="clear" w:pos="9072"/>
        <w:tab w:val="center" w:pos="3686"/>
        <w:tab w:val="right" w:pos="7371"/>
      </w:tabs>
      <w:jc w:val="left"/>
    </w:pPr>
    <w:rPr>
      <w:sz w:val="18"/>
      <w:lang w:val="en-GB"/>
    </w:rPr>
  </w:style>
  <w:style w:type="paragraph" w:customStyle="1" w:styleId="ECHRFooter">
    <w:name w:val="ECHR_Footer"/>
    <w:aliases w:val="Footer_ECHR"/>
    <w:basedOn w:val="Pidipagina"/>
    <w:uiPriority w:val="57"/>
    <w:semiHidden/>
    <w:rsid w:val="00CF78FF"/>
    <w:pPr>
      <w:jc w:val="left"/>
    </w:pPr>
    <w:rPr>
      <w:sz w:val="8"/>
    </w:rPr>
  </w:style>
  <w:style w:type="character" w:styleId="Enfasigrassetto">
    <w:name w:val="Strong"/>
    <w:uiPriority w:val="99"/>
    <w:semiHidden/>
    <w:qFormat/>
    <w:rsid w:val="0010038B"/>
    <w:rPr>
      <w:b/>
      <w:bCs/>
    </w:rPr>
  </w:style>
  <w:style w:type="paragraph" w:styleId="Nessunaspaziatura">
    <w:name w:val="No Spacing"/>
    <w:basedOn w:val="Normale"/>
    <w:link w:val="NessunaspaziaturaCarattere"/>
    <w:semiHidden/>
    <w:qFormat/>
    <w:rsid w:val="0010038B"/>
    <w:rPr>
      <w:sz w:val="22"/>
    </w:rPr>
  </w:style>
  <w:style w:type="character" w:customStyle="1" w:styleId="NessunaspaziaturaCarattere">
    <w:name w:val="Nessuna spaziatura Carattere"/>
    <w:basedOn w:val="Carpredefinitoparagrafo"/>
    <w:link w:val="Nessunaspaziatura"/>
    <w:semiHidden/>
    <w:rsid w:val="0010038B"/>
    <w:rPr>
      <w:rFonts w:eastAsiaTheme="minorEastAsia"/>
    </w:rPr>
  </w:style>
  <w:style w:type="paragraph" w:customStyle="1" w:styleId="ECHRFooterLine">
    <w:name w:val="ECHR_Footer_Line"/>
    <w:aliases w:val="Footer_Line"/>
    <w:basedOn w:val="Normale"/>
    <w:next w:val="ECHRFooter"/>
    <w:uiPriority w:val="57"/>
    <w:semiHidden/>
    <w:rsid w:val="00CF78FF"/>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semiHidden/>
    <w:qFormat/>
    <w:rsid w:val="0010038B"/>
    <w:pPr>
      <w:numPr>
        <w:numId w:val="25"/>
      </w:numPr>
      <w:jc w:val="left"/>
    </w:pPr>
    <w:rPr>
      <w:b/>
      <w:lang w:val="en-GB"/>
    </w:rPr>
  </w:style>
  <w:style w:type="paragraph" w:customStyle="1" w:styleId="OpiPara">
    <w:name w:val="Opi_Para"/>
    <w:basedOn w:val="ECHRPara"/>
    <w:uiPriority w:val="46"/>
    <w:qFormat/>
    <w:rsid w:val="0010038B"/>
  </w:style>
  <w:style w:type="paragraph" w:customStyle="1" w:styleId="JuParaSub">
    <w:name w:val="Ju_Para_Sub"/>
    <w:basedOn w:val="ECHRPara"/>
    <w:uiPriority w:val="13"/>
    <w:qFormat/>
    <w:rsid w:val="0010038B"/>
    <w:pPr>
      <w:ind w:left="284"/>
    </w:pPr>
  </w:style>
  <w:style w:type="paragraph" w:customStyle="1" w:styleId="ECHRTitleCentre3">
    <w:name w:val="ECHR_Title_Centre_3"/>
    <w:aliases w:val="Ju_H_Article"/>
    <w:basedOn w:val="Normale"/>
    <w:next w:val="ECHRParaQuote"/>
    <w:uiPriority w:val="27"/>
    <w:qFormat/>
    <w:rsid w:val="0010038B"/>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e"/>
    <w:next w:val="OpiPara"/>
    <w:uiPriority w:val="39"/>
    <w:qFormat/>
    <w:rsid w:val="0010038B"/>
    <w:pPr>
      <w:keepNext/>
      <w:keepLines/>
      <w:spacing w:after="240"/>
      <w:jc w:val="center"/>
      <w:outlineLvl w:val="0"/>
    </w:pPr>
    <w:rPr>
      <w:rFonts w:asciiTheme="majorHAnsi" w:hAnsiTheme="majorHAnsi"/>
      <w:sz w:val="28"/>
      <w:lang w:val="en-GB"/>
    </w:rPr>
  </w:style>
  <w:style w:type="paragraph" w:customStyle="1" w:styleId="OpiParaSub">
    <w:name w:val="Opi_Para_Sub"/>
    <w:basedOn w:val="JuParaSub"/>
    <w:uiPriority w:val="47"/>
    <w:qFormat/>
    <w:rsid w:val="0010038B"/>
  </w:style>
  <w:style w:type="paragraph" w:customStyle="1" w:styleId="OpiQuot">
    <w:name w:val="Opi_Quot"/>
    <w:basedOn w:val="ECHRParaQuote"/>
    <w:uiPriority w:val="48"/>
    <w:qFormat/>
    <w:rsid w:val="0010038B"/>
  </w:style>
  <w:style w:type="paragraph" w:customStyle="1" w:styleId="OpiQuotSub">
    <w:name w:val="Opi_Quot_Sub"/>
    <w:basedOn w:val="JuQuotSub"/>
    <w:uiPriority w:val="49"/>
    <w:qFormat/>
    <w:rsid w:val="0010038B"/>
  </w:style>
  <w:style w:type="paragraph" w:customStyle="1" w:styleId="ECHRTitleCentre2">
    <w:name w:val="ECHR_Title_Centre_2"/>
    <w:aliases w:val="Dec_H_Case"/>
    <w:basedOn w:val="Normale"/>
    <w:next w:val="ECHRPara"/>
    <w:uiPriority w:val="8"/>
    <w:qFormat/>
    <w:rsid w:val="0010038B"/>
    <w:pPr>
      <w:spacing w:after="240"/>
      <w:jc w:val="center"/>
      <w:outlineLvl w:val="0"/>
    </w:pPr>
    <w:rPr>
      <w:rFonts w:asciiTheme="majorHAnsi" w:hAnsiTheme="majorHAnsi"/>
      <w:lang w:val="en-GB"/>
    </w:rPr>
  </w:style>
  <w:style w:type="paragraph" w:customStyle="1" w:styleId="JuTitle">
    <w:name w:val="Ju_Title"/>
    <w:basedOn w:val="Normale"/>
    <w:next w:val="ECHRPara"/>
    <w:uiPriority w:val="3"/>
    <w:semiHidden/>
    <w:qFormat/>
    <w:rsid w:val="0010038B"/>
    <w:pPr>
      <w:spacing w:before="720" w:after="240"/>
      <w:jc w:val="center"/>
      <w:outlineLvl w:val="0"/>
    </w:pPr>
    <w:rPr>
      <w:rFonts w:asciiTheme="majorHAnsi" w:hAnsiTheme="majorHAnsi"/>
      <w:b/>
      <w:caps/>
      <w:lang w:val="en-GB"/>
    </w:rPr>
  </w:style>
  <w:style w:type="paragraph" w:styleId="Titolo">
    <w:name w:val="Title"/>
    <w:basedOn w:val="Normale"/>
    <w:next w:val="Normale"/>
    <w:link w:val="TitoloCarattere"/>
    <w:uiPriority w:val="99"/>
    <w:semiHidden/>
    <w:qFormat/>
    <w:rsid w:val="0010038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10038B"/>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10038B"/>
    <w:pPr>
      <w:keepNext/>
      <w:keepLines/>
      <w:tabs>
        <w:tab w:val="left" w:pos="731"/>
      </w:tabs>
      <w:spacing w:before="240" w:after="120" w:line="240" w:lineRule="auto"/>
      <w:ind w:left="732" w:hanging="301"/>
    </w:pPr>
    <w:rPr>
      <w:b w:val="0"/>
      <w:i/>
      <w:color w:val="auto"/>
      <w:lang w:val="en-GB"/>
    </w:rPr>
  </w:style>
  <w:style w:type="paragraph" w:customStyle="1" w:styleId="ECHRHeading4">
    <w:name w:val="ECHR_Heading_4"/>
    <w:aliases w:val="Ju_H_a"/>
    <w:basedOn w:val="Titolo4"/>
    <w:next w:val="ECHRPara"/>
    <w:uiPriority w:val="22"/>
    <w:qFormat/>
    <w:rsid w:val="0010038B"/>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Titolo5"/>
    <w:next w:val="ECHRPara"/>
    <w:uiPriority w:val="23"/>
    <w:qFormat/>
    <w:rsid w:val="0010038B"/>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10038B"/>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Titolo7"/>
    <w:next w:val="ECHRPara"/>
    <w:uiPriority w:val="25"/>
    <w:qFormat/>
    <w:rsid w:val="0010038B"/>
    <w:pPr>
      <w:keepNext/>
      <w:keepLines/>
      <w:spacing w:before="240" w:after="120"/>
      <w:ind w:left="1236"/>
    </w:pPr>
    <w:rPr>
      <w:sz w:val="20"/>
      <w:lang w:val="en-GB"/>
    </w:rPr>
  </w:style>
  <w:style w:type="paragraph" w:customStyle="1" w:styleId="JuQuotSub">
    <w:name w:val="Ju_Quot_Sub"/>
    <w:basedOn w:val="ECHRParaQuote"/>
    <w:uiPriority w:val="15"/>
    <w:qFormat/>
    <w:rsid w:val="0010038B"/>
    <w:pPr>
      <w:ind w:left="567"/>
    </w:pPr>
  </w:style>
  <w:style w:type="paragraph" w:customStyle="1" w:styleId="JuInitialled">
    <w:name w:val="Ju_Initialled"/>
    <w:basedOn w:val="Normale"/>
    <w:uiPriority w:val="31"/>
    <w:qFormat/>
    <w:rsid w:val="0010038B"/>
    <w:pPr>
      <w:tabs>
        <w:tab w:val="center" w:pos="6407"/>
      </w:tabs>
      <w:spacing w:before="720"/>
      <w:jc w:val="right"/>
    </w:pPr>
    <w:rPr>
      <w:lang w:val="en-GB"/>
    </w:rPr>
  </w:style>
  <w:style w:type="paragraph" w:customStyle="1" w:styleId="OpiHA">
    <w:name w:val="Opi_H_A"/>
    <w:basedOn w:val="ECHRHeading1"/>
    <w:next w:val="OpiPara"/>
    <w:uiPriority w:val="41"/>
    <w:qFormat/>
    <w:rsid w:val="0010038B"/>
    <w:pPr>
      <w:tabs>
        <w:tab w:val="clear" w:pos="357"/>
      </w:tabs>
      <w:outlineLvl w:val="1"/>
    </w:pPr>
    <w:rPr>
      <w:b/>
    </w:rPr>
  </w:style>
  <w:style w:type="paragraph" w:styleId="Intestazione">
    <w:name w:val="header"/>
    <w:basedOn w:val="Normale"/>
    <w:link w:val="IntestazioneCarattere"/>
    <w:uiPriority w:val="57"/>
    <w:semiHidden/>
    <w:rsid w:val="00CF78FF"/>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CF78FF"/>
    <w:rPr>
      <w:sz w:val="24"/>
    </w:rPr>
  </w:style>
  <w:style w:type="character" w:customStyle="1" w:styleId="Titolo1Carattere">
    <w:name w:val="Titolo 1 Carattere"/>
    <w:basedOn w:val="Carpredefinitoparagrafo"/>
    <w:link w:val="Titolo1"/>
    <w:uiPriority w:val="99"/>
    <w:semiHidden/>
    <w:rsid w:val="00CF78FF"/>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10038B"/>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Titolo2"/>
    <w:next w:val="ECHRPara"/>
    <w:uiPriority w:val="20"/>
    <w:qFormat/>
    <w:rsid w:val="0010038B"/>
    <w:pPr>
      <w:keepNext/>
      <w:keepLines/>
      <w:tabs>
        <w:tab w:val="left" w:pos="584"/>
      </w:tabs>
      <w:spacing w:before="360" w:after="240"/>
      <w:ind w:left="584" w:hanging="352"/>
    </w:pPr>
    <w:rPr>
      <w:color w:val="auto"/>
      <w:sz w:val="24"/>
      <w:lang w:val="en-GB"/>
    </w:rPr>
  </w:style>
  <w:style w:type="character" w:customStyle="1" w:styleId="Titolo2Carattere">
    <w:name w:val="Titolo 2 Carattere"/>
    <w:basedOn w:val="Carpredefinitoparagrafo"/>
    <w:link w:val="Titolo2"/>
    <w:uiPriority w:val="99"/>
    <w:semiHidden/>
    <w:rsid w:val="00CF78FF"/>
    <w:rPr>
      <w:rFonts w:asciiTheme="majorHAnsi" w:eastAsiaTheme="majorEastAsia" w:hAnsiTheme="majorHAnsi" w:cstheme="majorBidi"/>
      <w:b/>
      <w:bCs/>
      <w:color w:val="4D4D4D"/>
      <w:sz w:val="26"/>
      <w:szCs w:val="26"/>
    </w:rPr>
  </w:style>
  <w:style w:type="character" w:customStyle="1" w:styleId="JUNAMES">
    <w:name w:val="JU_NAMES"/>
    <w:uiPriority w:val="17"/>
    <w:qFormat/>
    <w:rsid w:val="0010038B"/>
    <w:rPr>
      <w:caps w:val="0"/>
      <w:smallCaps/>
    </w:rPr>
  </w:style>
  <w:style w:type="paragraph" w:customStyle="1" w:styleId="JuCase">
    <w:name w:val="Ju_Case"/>
    <w:basedOn w:val="Normale"/>
    <w:next w:val="ECHRPara"/>
    <w:uiPriority w:val="10"/>
    <w:rsid w:val="00CF78FF"/>
    <w:pPr>
      <w:ind w:firstLine="284"/>
    </w:pPr>
    <w:rPr>
      <w:b/>
    </w:rPr>
  </w:style>
  <w:style w:type="character" w:customStyle="1" w:styleId="Titolo3Carattere">
    <w:name w:val="Titolo 3 Carattere"/>
    <w:basedOn w:val="Carpredefinitoparagrafo"/>
    <w:link w:val="Titolo3"/>
    <w:uiPriority w:val="99"/>
    <w:semiHidden/>
    <w:rsid w:val="00CF78FF"/>
    <w:rPr>
      <w:rFonts w:asciiTheme="majorHAnsi" w:eastAsiaTheme="majorEastAsia" w:hAnsiTheme="majorHAnsi" w:cstheme="majorBidi"/>
      <w:b/>
      <w:bCs/>
      <w:color w:val="5F5F5F"/>
      <w:sz w:val="24"/>
    </w:rPr>
  </w:style>
  <w:style w:type="character" w:customStyle="1" w:styleId="Titolo4Carattere">
    <w:name w:val="Titolo 4 Carattere"/>
    <w:basedOn w:val="Carpredefinitoparagrafo"/>
    <w:link w:val="Titolo4"/>
    <w:uiPriority w:val="99"/>
    <w:semiHidden/>
    <w:rsid w:val="00CF78FF"/>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10038B"/>
    <w:rPr>
      <w:rFonts w:asciiTheme="majorHAnsi" w:eastAsiaTheme="majorEastAsia" w:hAnsiTheme="majorHAnsi" w:cstheme="majorBidi"/>
      <w:b/>
      <w:bCs/>
      <w:color w:val="808080"/>
    </w:rPr>
  </w:style>
  <w:style w:type="character" w:styleId="Enfasidelicata">
    <w:name w:val="Subtle Emphasis"/>
    <w:uiPriority w:val="99"/>
    <w:semiHidden/>
    <w:qFormat/>
    <w:rsid w:val="0010038B"/>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10038B"/>
    <w:pPr>
      <w:keepNext/>
      <w:keepLines/>
      <w:spacing w:before="720" w:after="240"/>
      <w:outlineLvl w:val="0"/>
    </w:pPr>
    <w:rPr>
      <w:rFonts w:asciiTheme="majorHAnsi" w:hAnsiTheme="majorHAnsi"/>
      <w:sz w:val="28"/>
      <w:lang w:val="en-GB"/>
    </w:rPr>
  </w:style>
  <w:style w:type="character" w:styleId="Enfasicorsivo">
    <w:name w:val="Emphasis"/>
    <w:uiPriority w:val="99"/>
    <w:semiHidden/>
    <w:qFormat/>
    <w:rsid w:val="0010038B"/>
    <w:rPr>
      <w:b/>
      <w:bCs/>
      <w:i/>
      <w:iCs/>
      <w:spacing w:val="10"/>
      <w:bdr w:val="none" w:sz="0" w:space="0" w:color="auto"/>
      <w:shd w:val="clear" w:color="auto" w:fill="auto"/>
    </w:rPr>
  </w:style>
  <w:style w:type="paragraph" w:styleId="Pidipagina">
    <w:name w:val="footer"/>
    <w:basedOn w:val="Normale"/>
    <w:link w:val="PidipaginaCarattere"/>
    <w:uiPriority w:val="57"/>
    <w:semiHidden/>
    <w:rsid w:val="00CF78FF"/>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CF78FF"/>
    <w:rPr>
      <w:sz w:val="24"/>
    </w:rPr>
  </w:style>
  <w:style w:type="character" w:styleId="Rimandonotaapidipagina">
    <w:name w:val="footnote reference"/>
    <w:basedOn w:val="Carpredefinitoparagrafo"/>
    <w:uiPriority w:val="99"/>
    <w:semiHidden/>
    <w:rsid w:val="00CF78FF"/>
    <w:rPr>
      <w:vertAlign w:val="superscript"/>
    </w:rPr>
  </w:style>
  <w:style w:type="paragraph" w:styleId="Testonotaapidipagina">
    <w:name w:val="footnote text"/>
    <w:basedOn w:val="Normale"/>
    <w:link w:val="TestonotaapidipaginaCarattere"/>
    <w:uiPriority w:val="99"/>
    <w:semiHidden/>
    <w:rsid w:val="00CF78FF"/>
    <w:rPr>
      <w:sz w:val="20"/>
      <w:szCs w:val="20"/>
    </w:rPr>
  </w:style>
  <w:style w:type="character" w:customStyle="1" w:styleId="TestonotaapidipaginaCarattere">
    <w:name w:val="Testo nota a piè di pagina Carattere"/>
    <w:basedOn w:val="Carpredefinitoparagrafo"/>
    <w:link w:val="Testonotaapidipagina"/>
    <w:uiPriority w:val="99"/>
    <w:semiHidden/>
    <w:rsid w:val="00CF78FF"/>
    <w:rPr>
      <w:rFonts w:eastAsiaTheme="minorEastAsia"/>
      <w:sz w:val="20"/>
      <w:szCs w:val="20"/>
    </w:rPr>
  </w:style>
  <w:style w:type="character" w:customStyle="1" w:styleId="Titolo6Carattere">
    <w:name w:val="Titolo 6 Carattere"/>
    <w:basedOn w:val="Carpredefinitoparagrafo"/>
    <w:link w:val="Titolo6"/>
    <w:uiPriority w:val="99"/>
    <w:semiHidden/>
    <w:rsid w:val="00CF78FF"/>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10038B"/>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10038B"/>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10038B"/>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CF78FF"/>
    <w:rPr>
      <w:color w:val="0072BC" w:themeColor="hyperlink"/>
      <w:u w:val="single"/>
    </w:rPr>
  </w:style>
  <w:style w:type="character" w:styleId="Enfasiintensa">
    <w:name w:val="Intense Emphasis"/>
    <w:uiPriority w:val="99"/>
    <w:semiHidden/>
    <w:qFormat/>
    <w:rsid w:val="0010038B"/>
    <w:rPr>
      <w:b/>
      <w:bCs/>
    </w:rPr>
  </w:style>
  <w:style w:type="paragraph" w:styleId="Citazioneintensa">
    <w:name w:val="Intense Quote"/>
    <w:basedOn w:val="Normale"/>
    <w:next w:val="Normale"/>
    <w:link w:val="CitazioneintensaCarattere"/>
    <w:uiPriority w:val="99"/>
    <w:semiHidden/>
    <w:qFormat/>
    <w:rsid w:val="0010038B"/>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10038B"/>
    <w:rPr>
      <w:rFonts w:eastAsiaTheme="minorEastAsia"/>
      <w:b/>
      <w:bCs/>
      <w:i/>
      <w:iCs/>
      <w:lang w:bidi="en-US"/>
    </w:rPr>
  </w:style>
  <w:style w:type="character" w:styleId="Riferimentointenso">
    <w:name w:val="Intense Reference"/>
    <w:uiPriority w:val="99"/>
    <w:semiHidden/>
    <w:qFormat/>
    <w:rsid w:val="0010038B"/>
    <w:rPr>
      <w:smallCaps/>
      <w:spacing w:val="5"/>
      <w:u w:val="single"/>
    </w:rPr>
  </w:style>
  <w:style w:type="paragraph" w:styleId="Paragrafoelenco">
    <w:name w:val="List Paragraph"/>
    <w:basedOn w:val="Normale"/>
    <w:uiPriority w:val="99"/>
    <w:semiHidden/>
    <w:qFormat/>
    <w:rsid w:val="0010038B"/>
    <w:pPr>
      <w:ind w:left="720"/>
      <w:contextualSpacing/>
    </w:pPr>
    <w:rPr>
      <w:lang w:val="en-GB"/>
    </w:r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10038B"/>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10038B"/>
    <w:rPr>
      <w:rFonts w:eastAsiaTheme="minorEastAsia"/>
      <w:i/>
      <w:iCs/>
      <w:lang w:bidi="en-US"/>
    </w:rPr>
  </w:style>
  <w:style w:type="character" w:styleId="Riferimentodelicato">
    <w:name w:val="Subtle Reference"/>
    <w:uiPriority w:val="99"/>
    <w:semiHidden/>
    <w:qFormat/>
    <w:rsid w:val="0010038B"/>
    <w:rPr>
      <w:smallCaps/>
    </w:rPr>
  </w:style>
  <w:style w:type="table" w:styleId="Grigliatabella">
    <w:name w:val="Table Grid"/>
    <w:basedOn w:val="Tabellanormale"/>
    <w:uiPriority w:val="59"/>
    <w:semiHidden/>
    <w:rsid w:val="00CF78F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CF78F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CF78F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CF78F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CF78FF"/>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CF78FF"/>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10038B"/>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F78FF"/>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10038B"/>
    <w:pPr>
      <w:spacing w:before="120" w:after="120"/>
      <w:ind w:left="425" w:firstLine="142"/>
    </w:pPr>
    <w:rPr>
      <w:sz w:val="20"/>
      <w:lang w:val="en-GB"/>
    </w:rPr>
  </w:style>
  <w:style w:type="paragraph" w:customStyle="1" w:styleId="ECHRPara">
    <w:name w:val="ECHR_Para"/>
    <w:aliases w:val="Ju_Para"/>
    <w:basedOn w:val="Normale"/>
    <w:link w:val="ECHRParaChar"/>
    <w:uiPriority w:val="12"/>
    <w:qFormat/>
    <w:rsid w:val="0010038B"/>
    <w:pPr>
      <w:ind w:firstLine="284"/>
    </w:pPr>
    <w:rPr>
      <w:lang w:val="en-GB"/>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CF78F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10038B"/>
    <w:pPr>
      <w:tabs>
        <w:tab w:val="left" w:pos="567"/>
        <w:tab w:val="left" w:pos="1134"/>
      </w:tabs>
      <w:jc w:val="left"/>
    </w:pPr>
    <w:rPr>
      <w:lang w:val="en-GB"/>
    </w:r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e"/>
    <w:uiPriority w:val="28"/>
    <w:qFormat/>
    <w:rsid w:val="0010038B"/>
    <w:pPr>
      <w:ind w:left="340" w:hanging="340"/>
    </w:pPr>
    <w:rPr>
      <w:lang w:val="en-GB"/>
    </w:rPr>
  </w:style>
  <w:style w:type="paragraph" w:customStyle="1" w:styleId="JuSigned">
    <w:name w:val="Ju_Signed"/>
    <w:basedOn w:val="Normale"/>
    <w:next w:val="JuParaLast"/>
    <w:uiPriority w:val="32"/>
    <w:qFormat/>
    <w:rsid w:val="0010038B"/>
    <w:pPr>
      <w:tabs>
        <w:tab w:val="center" w:pos="851"/>
        <w:tab w:val="center" w:pos="6407"/>
      </w:tabs>
      <w:spacing w:before="720"/>
      <w:jc w:val="left"/>
    </w:pPr>
    <w:rPr>
      <w:lang w:val="en-GB"/>
    </w:rPr>
  </w:style>
  <w:style w:type="paragraph" w:customStyle="1" w:styleId="JuParaLast">
    <w:name w:val="Ju_Para_Last"/>
    <w:basedOn w:val="Normale"/>
    <w:next w:val="ECHRPara"/>
    <w:uiPriority w:val="30"/>
    <w:qFormat/>
    <w:rsid w:val="0010038B"/>
    <w:pPr>
      <w:keepNext/>
      <w:keepLines/>
      <w:spacing w:before="240"/>
      <w:ind w:firstLine="284"/>
    </w:pPr>
    <w:rPr>
      <w:lang w:val="en-GB"/>
    </w:rPr>
  </w:style>
  <w:style w:type="character" w:customStyle="1" w:styleId="JuITMark">
    <w:name w:val="Ju_ITMark"/>
    <w:basedOn w:val="Carpredefinitoparagrafo"/>
    <w:uiPriority w:val="38"/>
    <w:qFormat/>
    <w:rsid w:val="0010038B"/>
    <w:rPr>
      <w:vanish w:val="0"/>
      <w:color w:val="auto"/>
      <w:sz w:val="14"/>
      <w:bdr w:val="none" w:sz="0" w:space="0" w:color="auto"/>
      <w:shd w:val="clear" w:color="auto" w:fill="BEE5FF" w:themeFill="background1" w:themeFillTint="33"/>
    </w:rPr>
  </w:style>
  <w:style w:type="character" w:styleId="Numeropagina">
    <w:name w:val="page number"/>
    <w:uiPriority w:val="99"/>
    <w:semiHidden/>
    <w:rsid w:val="00014566"/>
    <w:rPr>
      <w:sz w:val="18"/>
    </w:rPr>
  </w:style>
  <w:style w:type="paragraph" w:customStyle="1" w:styleId="JuLista">
    <w:name w:val="Ju_List_a"/>
    <w:basedOn w:val="JuList"/>
    <w:uiPriority w:val="28"/>
    <w:qFormat/>
    <w:rsid w:val="0010038B"/>
    <w:pPr>
      <w:ind w:left="346" w:firstLine="0"/>
    </w:pPr>
  </w:style>
  <w:style w:type="paragraph" w:customStyle="1" w:styleId="JuListi">
    <w:name w:val="Ju_List_i"/>
    <w:basedOn w:val="Normale"/>
    <w:next w:val="JuLista"/>
    <w:uiPriority w:val="28"/>
    <w:qFormat/>
    <w:rsid w:val="0010038B"/>
    <w:pPr>
      <w:ind w:left="794"/>
    </w:pPr>
    <w:rPr>
      <w:lang w:val="en-GB"/>
    </w:rPr>
  </w:style>
  <w:style w:type="character" w:styleId="Rimandocommento">
    <w:name w:val="annotation reference"/>
    <w:uiPriority w:val="99"/>
    <w:semiHidden/>
    <w:rsid w:val="00014566"/>
    <w:rPr>
      <w:sz w:val="16"/>
    </w:rPr>
  </w:style>
  <w:style w:type="paragraph" w:styleId="Testocommento">
    <w:name w:val="annotation text"/>
    <w:basedOn w:val="Normale"/>
    <w:link w:val="TestocommentoCarattere"/>
    <w:semiHidden/>
    <w:rsid w:val="00014566"/>
    <w:rPr>
      <w:sz w:val="20"/>
    </w:rPr>
  </w:style>
  <w:style w:type="character" w:customStyle="1" w:styleId="TestocommentoCarattere">
    <w:name w:val="Testo commento Carattere"/>
    <w:basedOn w:val="Carpredefinitoparagrafo"/>
    <w:link w:val="Testocommento"/>
    <w:semiHidden/>
    <w:rsid w:val="00014566"/>
    <w:rPr>
      <w:rFonts w:eastAsiaTheme="minorEastAsia"/>
      <w:sz w:val="20"/>
    </w:rPr>
  </w:style>
  <w:style w:type="paragraph" w:styleId="Soggettocommento">
    <w:name w:val="annotation subject"/>
    <w:basedOn w:val="Testocommento"/>
    <w:next w:val="Testocommento"/>
    <w:link w:val="SoggettocommentoCarattere"/>
    <w:uiPriority w:val="99"/>
    <w:semiHidden/>
    <w:rsid w:val="00014566"/>
    <w:rPr>
      <w:b/>
      <w:bCs/>
    </w:rPr>
  </w:style>
  <w:style w:type="character" w:customStyle="1" w:styleId="SoggettocommentoCarattere">
    <w:name w:val="Soggetto commento Carattere"/>
    <w:basedOn w:val="TestocommentoCarattere"/>
    <w:link w:val="Soggettocommento"/>
    <w:uiPriority w:val="99"/>
    <w:semiHidden/>
    <w:rsid w:val="00014566"/>
    <w:rPr>
      <w:rFonts w:eastAsiaTheme="minorEastAsia"/>
      <w:b/>
      <w:bCs/>
      <w:sz w:val="20"/>
    </w:rPr>
  </w:style>
  <w:style w:type="character" w:styleId="Rimandonotadichiusura">
    <w:name w:val="endnote reference"/>
    <w:uiPriority w:val="99"/>
    <w:semiHidden/>
    <w:rsid w:val="00014566"/>
    <w:rPr>
      <w:vertAlign w:val="superscript"/>
    </w:rPr>
  </w:style>
  <w:style w:type="paragraph" w:styleId="Testonotadichiusura">
    <w:name w:val="endnote text"/>
    <w:basedOn w:val="Normale"/>
    <w:link w:val="TestonotadichiusuraCarattere"/>
    <w:uiPriority w:val="99"/>
    <w:semiHidden/>
    <w:rsid w:val="00014566"/>
    <w:rPr>
      <w:sz w:val="20"/>
    </w:rPr>
  </w:style>
  <w:style w:type="character" w:customStyle="1" w:styleId="TestonotadichiusuraCarattere">
    <w:name w:val="Testo nota di chiusura Carattere"/>
    <w:basedOn w:val="Carpredefinitoparagrafo"/>
    <w:link w:val="Testonotadichiusura"/>
    <w:uiPriority w:val="99"/>
    <w:semiHidden/>
    <w:rsid w:val="00014566"/>
    <w:rPr>
      <w:rFonts w:eastAsiaTheme="minorEastAsia"/>
      <w:sz w:val="20"/>
    </w:rPr>
  </w:style>
  <w:style w:type="character" w:styleId="Collegamentovisitato">
    <w:name w:val="FollowedHyperlink"/>
    <w:uiPriority w:val="99"/>
    <w:semiHidden/>
    <w:rsid w:val="00014566"/>
    <w:rPr>
      <w:color w:val="800080"/>
      <w:u w:val="single"/>
    </w:rPr>
  </w:style>
  <w:style w:type="paragraph" w:styleId="Mappadocumento">
    <w:name w:val="Document Map"/>
    <w:basedOn w:val="Normale"/>
    <w:link w:val="MappadocumentoCarattere"/>
    <w:uiPriority w:val="99"/>
    <w:semiHidden/>
    <w:rsid w:val="00014566"/>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e"/>
    <w:next w:val="OpiPara"/>
    <w:uiPriority w:val="40"/>
    <w:qFormat/>
    <w:rsid w:val="0010038B"/>
    <w:pPr>
      <w:jc w:val="center"/>
      <w:outlineLvl w:val="0"/>
    </w:pPr>
    <w:rPr>
      <w:i/>
      <w:lang w:val="en-GB"/>
    </w:rPr>
  </w:style>
  <w:style w:type="paragraph" w:styleId="Puntoelenco">
    <w:name w:val="List Bullet"/>
    <w:basedOn w:val="Normale"/>
    <w:uiPriority w:val="99"/>
    <w:semiHidden/>
    <w:rsid w:val="00014566"/>
    <w:pPr>
      <w:numPr>
        <w:numId w:val="1"/>
      </w:numPr>
    </w:pPr>
  </w:style>
  <w:style w:type="paragraph" w:customStyle="1" w:styleId="DecHTitle">
    <w:name w:val="Dec_H_Title"/>
    <w:basedOn w:val="ECHRTitleCentre1"/>
    <w:uiPriority w:val="7"/>
    <w:semiHidden/>
    <w:qFormat/>
    <w:rsid w:val="0010038B"/>
  </w:style>
  <w:style w:type="paragraph" w:styleId="Sottotitolo">
    <w:name w:val="Subtitle"/>
    <w:basedOn w:val="Normale"/>
    <w:next w:val="Normale"/>
    <w:link w:val="SottotitoloCarattere"/>
    <w:uiPriority w:val="99"/>
    <w:semiHidden/>
    <w:qFormat/>
    <w:rsid w:val="0010038B"/>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10038B"/>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014566"/>
    <w:pPr>
      <w:numPr>
        <w:numId w:val="2"/>
      </w:numPr>
    </w:pPr>
  </w:style>
  <w:style w:type="numbering" w:styleId="1ai">
    <w:name w:val="Outline List 1"/>
    <w:basedOn w:val="Nessunelenco"/>
    <w:uiPriority w:val="99"/>
    <w:semiHidden/>
    <w:rsid w:val="00014566"/>
    <w:pPr>
      <w:numPr>
        <w:numId w:val="3"/>
      </w:numPr>
    </w:pPr>
  </w:style>
  <w:style w:type="numbering" w:styleId="ArticoloSezione">
    <w:name w:val="Outline List 3"/>
    <w:basedOn w:val="Nessunelenco"/>
    <w:uiPriority w:val="99"/>
    <w:semiHidden/>
    <w:rsid w:val="00014566"/>
    <w:pPr>
      <w:numPr>
        <w:numId w:val="4"/>
      </w:numPr>
    </w:pPr>
  </w:style>
  <w:style w:type="paragraph" w:styleId="Bibliografia">
    <w:name w:val="Bibliography"/>
    <w:basedOn w:val="Normale"/>
    <w:next w:val="Normale"/>
    <w:uiPriority w:val="99"/>
    <w:semiHidden/>
    <w:unhideWhenUsed/>
    <w:rsid w:val="00014566"/>
  </w:style>
  <w:style w:type="paragraph" w:styleId="Testodelblocco">
    <w:name w:val="Block Text"/>
    <w:basedOn w:val="Normale"/>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014566"/>
    <w:pPr>
      <w:spacing w:after="120"/>
    </w:pPr>
  </w:style>
  <w:style w:type="character" w:customStyle="1" w:styleId="CorpotestoCarattere">
    <w:name w:val="Corpo testo Carattere"/>
    <w:basedOn w:val="Carpredefinitoparagrafo"/>
    <w:link w:val="Corpotesto"/>
    <w:uiPriority w:val="99"/>
    <w:semiHidden/>
    <w:rsid w:val="00014566"/>
    <w:rPr>
      <w:rFonts w:eastAsiaTheme="minorEastAsia"/>
      <w:sz w:val="24"/>
    </w:rPr>
  </w:style>
  <w:style w:type="paragraph" w:styleId="Corpodeltesto2">
    <w:name w:val="Body Text 2"/>
    <w:basedOn w:val="Normale"/>
    <w:link w:val="Corpodeltesto2Carattere"/>
    <w:uiPriority w:val="99"/>
    <w:semiHidden/>
    <w:rsid w:val="00014566"/>
    <w:pPr>
      <w:spacing w:after="120" w:line="480" w:lineRule="auto"/>
    </w:pPr>
  </w:style>
  <w:style w:type="character" w:customStyle="1" w:styleId="Corpodeltesto2Carattere">
    <w:name w:val="Corpo del testo 2 Carattere"/>
    <w:basedOn w:val="Carpredefinitoparagrafo"/>
    <w:link w:val="Corpodeltesto2"/>
    <w:uiPriority w:val="99"/>
    <w:semiHidden/>
    <w:rsid w:val="00014566"/>
    <w:rPr>
      <w:rFonts w:eastAsiaTheme="minorEastAsia"/>
      <w:sz w:val="24"/>
    </w:rPr>
  </w:style>
  <w:style w:type="paragraph" w:styleId="Corpodeltesto3">
    <w:name w:val="Body Text 3"/>
    <w:basedOn w:val="Normale"/>
    <w:link w:val="Corpodeltesto3Carattere"/>
    <w:uiPriority w:val="99"/>
    <w:semiHidden/>
    <w:rsid w:val="0001456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14566"/>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14566"/>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14566"/>
    <w:rPr>
      <w:rFonts w:eastAsiaTheme="minorEastAsia"/>
      <w:sz w:val="24"/>
    </w:rPr>
  </w:style>
  <w:style w:type="paragraph" w:styleId="Rientrocorpodeltesto">
    <w:name w:val="Body Text Indent"/>
    <w:basedOn w:val="Normale"/>
    <w:link w:val="RientrocorpodeltestoCarattere"/>
    <w:uiPriority w:val="99"/>
    <w:semiHidden/>
    <w:rsid w:val="0001456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14566"/>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1456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14566"/>
    <w:rPr>
      <w:rFonts w:eastAsiaTheme="minorEastAsia"/>
      <w:sz w:val="24"/>
    </w:rPr>
  </w:style>
  <w:style w:type="paragraph" w:styleId="Rientrocorpodeltesto2">
    <w:name w:val="Body Text Indent 2"/>
    <w:basedOn w:val="Normale"/>
    <w:link w:val="Rientrocorpodeltesto2Carattere"/>
    <w:uiPriority w:val="99"/>
    <w:semiHidden/>
    <w:rsid w:val="0001456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14566"/>
    <w:rPr>
      <w:rFonts w:eastAsiaTheme="minorEastAsia"/>
      <w:sz w:val="24"/>
    </w:rPr>
  </w:style>
  <w:style w:type="paragraph" w:styleId="Rientrocorpodeltesto3">
    <w:name w:val="Body Text Indent 3"/>
    <w:basedOn w:val="Normale"/>
    <w:link w:val="Rientrocorpodeltesto3Carattere"/>
    <w:uiPriority w:val="99"/>
    <w:semiHidden/>
    <w:rsid w:val="0001456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14566"/>
    <w:rPr>
      <w:rFonts w:eastAsiaTheme="minorEastAsia"/>
      <w:sz w:val="16"/>
      <w:szCs w:val="16"/>
    </w:rPr>
  </w:style>
  <w:style w:type="paragraph" w:styleId="Didascalia">
    <w:name w:val="caption"/>
    <w:basedOn w:val="Normale"/>
    <w:next w:val="Normale"/>
    <w:uiPriority w:val="99"/>
    <w:semiHidden/>
    <w:qFormat/>
    <w:rsid w:val="00014566"/>
    <w:pPr>
      <w:spacing w:after="200"/>
    </w:pPr>
    <w:rPr>
      <w:b/>
      <w:bCs/>
      <w:color w:val="0072BC" w:themeColor="accent1"/>
      <w:sz w:val="18"/>
      <w:szCs w:val="18"/>
      <w:lang w:val="en-GB"/>
    </w:rPr>
  </w:style>
  <w:style w:type="paragraph" w:styleId="Formuladichiusura">
    <w:name w:val="Closing"/>
    <w:basedOn w:val="Normale"/>
    <w:link w:val="FormuladichiusuraCarattere"/>
    <w:uiPriority w:val="99"/>
    <w:semiHidden/>
    <w:rsid w:val="00014566"/>
    <w:pPr>
      <w:ind w:left="4252"/>
    </w:pPr>
  </w:style>
  <w:style w:type="character" w:customStyle="1" w:styleId="FormuladichiusuraCarattere">
    <w:name w:val="Formula di chiusura Carattere"/>
    <w:basedOn w:val="Carpredefinitoparagrafo"/>
    <w:link w:val="Formuladichiusura"/>
    <w:uiPriority w:val="99"/>
    <w:semiHidden/>
    <w:rsid w:val="00014566"/>
    <w:rPr>
      <w:rFonts w:eastAsiaTheme="minorEastAsia"/>
      <w:sz w:val="24"/>
    </w:rPr>
  </w:style>
  <w:style w:type="table" w:styleId="Grigliaacolori">
    <w:name w:val="Colorful Grid"/>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14566"/>
  </w:style>
  <w:style w:type="character" w:customStyle="1" w:styleId="DataCarattere">
    <w:name w:val="Data Carattere"/>
    <w:basedOn w:val="Carpredefinitoparagrafo"/>
    <w:link w:val="Data"/>
    <w:uiPriority w:val="99"/>
    <w:semiHidden/>
    <w:rsid w:val="00014566"/>
    <w:rPr>
      <w:rFonts w:eastAsiaTheme="minorEastAsia"/>
      <w:sz w:val="24"/>
    </w:rPr>
  </w:style>
  <w:style w:type="paragraph" w:styleId="Firmadipostaelettronica">
    <w:name w:val="E-mail Signature"/>
    <w:basedOn w:val="Normale"/>
    <w:link w:val="FirmadipostaelettronicaCarattere"/>
    <w:uiPriority w:val="99"/>
    <w:semiHidden/>
    <w:rsid w:val="00014566"/>
  </w:style>
  <w:style w:type="character" w:customStyle="1" w:styleId="FirmadipostaelettronicaCarattere">
    <w:name w:val="Firma di posta elettronica Carattere"/>
    <w:basedOn w:val="Carpredefinitoparagrafo"/>
    <w:link w:val="Firmadipostaelettronica"/>
    <w:uiPriority w:val="99"/>
    <w:semiHidden/>
    <w:rsid w:val="00014566"/>
    <w:rPr>
      <w:rFonts w:eastAsiaTheme="minorEastAsia"/>
      <w:sz w:val="24"/>
    </w:rPr>
  </w:style>
  <w:style w:type="paragraph" w:styleId="Indirizzodestinatario">
    <w:name w:val="envelope address"/>
    <w:basedOn w:val="Normale"/>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014566"/>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014566"/>
  </w:style>
  <w:style w:type="paragraph" w:styleId="IndirizzoHTML">
    <w:name w:val="HTML Address"/>
    <w:basedOn w:val="Normale"/>
    <w:link w:val="IndirizzoHTMLCarattere"/>
    <w:uiPriority w:val="99"/>
    <w:semiHidden/>
    <w:rsid w:val="00014566"/>
    <w:rPr>
      <w:i/>
      <w:iCs/>
    </w:rPr>
  </w:style>
  <w:style w:type="character" w:customStyle="1" w:styleId="IndirizzoHTMLCarattere">
    <w:name w:val="Indirizzo HTML Carattere"/>
    <w:basedOn w:val="Carpredefinitoparagrafo"/>
    <w:link w:val="IndirizzoHTML"/>
    <w:uiPriority w:val="99"/>
    <w:semiHidden/>
    <w:rsid w:val="00014566"/>
    <w:rPr>
      <w:rFonts w:eastAsiaTheme="minorEastAsia"/>
      <w:i/>
      <w:iCs/>
      <w:sz w:val="24"/>
    </w:rPr>
  </w:style>
  <w:style w:type="character" w:styleId="CitazioneHTML">
    <w:name w:val="HTML Cite"/>
    <w:basedOn w:val="Carpredefinitoparagrafo"/>
    <w:uiPriority w:val="99"/>
    <w:semiHidden/>
    <w:rsid w:val="00014566"/>
    <w:rPr>
      <w:i/>
      <w:iCs/>
    </w:rPr>
  </w:style>
  <w:style w:type="character" w:styleId="CodiceHTML">
    <w:name w:val="HTML Code"/>
    <w:basedOn w:val="Carpredefinitoparagrafo"/>
    <w:uiPriority w:val="99"/>
    <w:semiHidden/>
    <w:rsid w:val="00014566"/>
    <w:rPr>
      <w:rFonts w:ascii="Consolas" w:hAnsi="Consolas" w:cs="Consolas"/>
      <w:sz w:val="20"/>
      <w:szCs w:val="20"/>
    </w:rPr>
  </w:style>
  <w:style w:type="character" w:styleId="DefinizioneHTML">
    <w:name w:val="HTML Definition"/>
    <w:basedOn w:val="Carpredefinitoparagrafo"/>
    <w:uiPriority w:val="99"/>
    <w:semiHidden/>
    <w:rsid w:val="00014566"/>
    <w:rPr>
      <w:i/>
      <w:iCs/>
    </w:rPr>
  </w:style>
  <w:style w:type="character" w:styleId="TastieraHTML">
    <w:name w:val="HTML Keyboard"/>
    <w:basedOn w:val="Carpredefinitoparagrafo"/>
    <w:uiPriority w:val="99"/>
    <w:semiHidden/>
    <w:rsid w:val="00014566"/>
    <w:rPr>
      <w:rFonts w:ascii="Consolas" w:hAnsi="Consolas" w:cs="Consolas"/>
      <w:sz w:val="20"/>
      <w:szCs w:val="20"/>
    </w:rPr>
  </w:style>
  <w:style w:type="paragraph" w:styleId="PreformattatoHTML">
    <w:name w:val="HTML Preformatted"/>
    <w:basedOn w:val="Normale"/>
    <w:link w:val="PreformattatoHTMLCarattere"/>
    <w:uiPriority w:val="99"/>
    <w:semiHidden/>
    <w:rsid w:val="0001456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14566"/>
    <w:rPr>
      <w:rFonts w:ascii="Consolas" w:eastAsiaTheme="minorEastAsia" w:hAnsi="Consolas" w:cs="Consolas"/>
      <w:sz w:val="20"/>
      <w:szCs w:val="20"/>
    </w:rPr>
  </w:style>
  <w:style w:type="character" w:styleId="EsempioHTML">
    <w:name w:val="HTML Sample"/>
    <w:basedOn w:val="Carpredefinitoparagrafo"/>
    <w:uiPriority w:val="99"/>
    <w:semiHidden/>
    <w:rsid w:val="00014566"/>
    <w:rPr>
      <w:rFonts w:ascii="Consolas" w:hAnsi="Consolas" w:cs="Consolas"/>
      <w:sz w:val="24"/>
      <w:szCs w:val="24"/>
    </w:rPr>
  </w:style>
  <w:style w:type="character" w:styleId="MacchinadascrivereHTML">
    <w:name w:val="HTML Typewriter"/>
    <w:basedOn w:val="Carpredefinitoparagrafo"/>
    <w:uiPriority w:val="99"/>
    <w:semiHidden/>
    <w:rsid w:val="00014566"/>
    <w:rPr>
      <w:rFonts w:ascii="Consolas" w:hAnsi="Consolas" w:cs="Consolas"/>
      <w:sz w:val="20"/>
      <w:szCs w:val="20"/>
    </w:rPr>
  </w:style>
  <w:style w:type="character" w:styleId="VariabileHTML">
    <w:name w:val="HTML Variable"/>
    <w:basedOn w:val="Carpredefinitoparagrafo"/>
    <w:uiPriority w:val="99"/>
    <w:semiHidden/>
    <w:rsid w:val="00014566"/>
    <w:rPr>
      <w:i/>
      <w:iCs/>
    </w:rPr>
  </w:style>
  <w:style w:type="paragraph" w:styleId="Indice1">
    <w:name w:val="index 1"/>
    <w:basedOn w:val="Normale"/>
    <w:next w:val="Normale"/>
    <w:autoRedefine/>
    <w:uiPriority w:val="99"/>
    <w:semiHidden/>
    <w:rsid w:val="00014566"/>
    <w:pPr>
      <w:ind w:left="240" w:hanging="240"/>
    </w:pPr>
  </w:style>
  <w:style w:type="paragraph" w:styleId="Indice2">
    <w:name w:val="index 2"/>
    <w:basedOn w:val="Normale"/>
    <w:next w:val="Normale"/>
    <w:autoRedefine/>
    <w:uiPriority w:val="99"/>
    <w:semiHidden/>
    <w:rsid w:val="00014566"/>
    <w:pPr>
      <w:ind w:left="480" w:hanging="240"/>
    </w:pPr>
  </w:style>
  <w:style w:type="paragraph" w:styleId="Indice3">
    <w:name w:val="index 3"/>
    <w:basedOn w:val="Normale"/>
    <w:next w:val="Normale"/>
    <w:autoRedefine/>
    <w:uiPriority w:val="99"/>
    <w:semiHidden/>
    <w:rsid w:val="00014566"/>
    <w:pPr>
      <w:ind w:left="720" w:hanging="240"/>
    </w:pPr>
  </w:style>
  <w:style w:type="paragraph" w:styleId="Indice4">
    <w:name w:val="index 4"/>
    <w:basedOn w:val="Normale"/>
    <w:next w:val="Normale"/>
    <w:autoRedefine/>
    <w:uiPriority w:val="99"/>
    <w:semiHidden/>
    <w:rsid w:val="00014566"/>
    <w:pPr>
      <w:ind w:left="960" w:hanging="240"/>
    </w:pPr>
  </w:style>
  <w:style w:type="paragraph" w:styleId="Indice5">
    <w:name w:val="index 5"/>
    <w:basedOn w:val="Normale"/>
    <w:next w:val="Normale"/>
    <w:autoRedefine/>
    <w:uiPriority w:val="99"/>
    <w:semiHidden/>
    <w:rsid w:val="00014566"/>
    <w:pPr>
      <w:ind w:left="1200" w:hanging="240"/>
    </w:pPr>
  </w:style>
  <w:style w:type="paragraph" w:styleId="Indice6">
    <w:name w:val="index 6"/>
    <w:basedOn w:val="Normale"/>
    <w:next w:val="Normale"/>
    <w:autoRedefine/>
    <w:uiPriority w:val="99"/>
    <w:semiHidden/>
    <w:rsid w:val="00014566"/>
    <w:pPr>
      <w:ind w:left="1440" w:hanging="240"/>
    </w:pPr>
  </w:style>
  <w:style w:type="paragraph" w:styleId="Indice7">
    <w:name w:val="index 7"/>
    <w:basedOn w:val="Normale"/>
    <w:next w:val="Normale"/>
    <w:autoRedefine/>
    <w:uiPriority w:val="99"/>
    <w:semiHidden/>
    <w:rsid w:val="00014566"/>
    <w:pPr>
      <w:ind w:left="1680" w:hanging="240"/>
    </w:pPr>
  </w:style>
  <w:style w:type="paragraph" w:styleId="Indice8">
    <w:name w:val="index 8"/>
    <w:basedOn w:val="Normale"/>
    <w:next w:val="Normale"/>
    <w:autoRedefine/>
    <w:uiPriority w:val="99"/>
    <w:semiHidden/>
    <w:rsid w:val="00014566"/>
    <w:pPr>
      <w:ind w:left="1920" w:hanging="240"/>
    </w:pPr>
  </w:style>
  <w:style w:type="paragraph" w:styleId="Indice9">
    <w:name w:val="index 9"/>
    <w:basedOn w:val="Normale"/>
    <w:next w:val="Normale"/>
    <w:autoRedefine/>
    <w:uiPriority w:val="99"/>
    <w:semiHidden/>
    <w:rsid w:val="00014566"/>
    <w:pPr>
      <w:ind w:left="2160" w:hanging="240"/>
    </w:pPr>
  </w:style>
  <w:style w:type="paragraph" w:styleId="Titoloindice">
    <w:name w:val="index heading"/>
    <w:basedOn w:val="Normale"/>
    <w:next w:val="Indice1"/>
    <w:uiPriority w:val="99"/>
    <w:semiHidden/>
    <w:rsid w:val="00014566"/>
    <w:rPr>
      <w:rFonts w:asciiTheme="majorHAnsi" w:eastAsiaTheme="majorEastAsia" w:hAnsiTheme="majorHAnsi" w:cstheme="majorBidi"/>
      <w:b/>
      <w:bCs/>
    </w:rPr>
  </w:style>
  <w:style w:type="table" w:styleId="Grigliachiara">
    <w:name w:val="Light Grid"/>
    <w:basedOn w:val="Tabellanormale"/>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14566"/>
  </w:style>
  <w:style w:type="paragraph" w:styleId="Elenco">
    <w:name w:val="List"/>
    <w:basedOn w:val="Normale"/>
    <w:uiPriority w:val="99"/>
    <w:semiHidden/>
    <w:rsid w:val="00014566"/>
    <w:pPr>
      <w:ind w:left="283" w:hanging="283"/>
      <w:contextualSpacing/>
    </w:pPr>
  </w:style>
  <w:style w:type="paragraph" w:styleId="Elenco2">
    <w:name w:val="List 2"/>
    <w:basedOn w:val="Normale"/>
    <w:uiPriority w:val="99"/>
    <w:semiHidden/>
    <w:rsid w:val="00014566"/>
    <w:pPr>
      <w:ind w:left="566" w:hanging="283"/>
      <w:contextualSpacing/>
    </w:pPr>
  </w:style>
  <w:style w:type="paragraph" w:styleId="Elenco3">
    <w:name w:val="List 3"/>
    <w:basedOn w:val="Normale"/>
    <w:uiPriority w:val="99"/>
    <w:semiHidden/>
    <w:rsid w:val="00014566"/>
    <w:pPr>
      <w:ind w:left="849" w:hanging="283"/>
      <w:contextualSpacing/>
    </w:pPr>
  </w:style>
  <w:style w:type="paragraph" w:styleId="Elenco4">
    <w:name w:val="List 4"/>
    <w:basedOn w:val="Normale"/>
    <w:uiPriority w:val="99"/>
    <w:semiHidden/>
    <w:rsid w:val="00014566"/>
    <w:pPr>
      <w:ind w:left="1132" w:hanging="283"/>
      <w:contextualSpacing/>
    </w:pPr>
  </w:style>
  <w:style w:type="paragraph" w:styleId="Elenco5">
    <w:name w:val="List 5"/>
    <w:basedOn w:val="Normale"/>
    <w:uiPriority w:val="99"/>
    <w:semiHidden/>
    <w:rsid w:val="00014566"/>
    <w:pPr>
      <w:ind w:left="1415" w:hanging="283"/>
      <w:contextualSpacing/>
    </w:pPr>
  </w:style>
  <w:style w:type="paragraph" w:styleId="Puntoelenco2">
    <w:name w:val="List Bullet 2"/>
    <w:basedOn w:val="Normale"/>
    <w:uiPriority w:val="99"/>
    <w:semiHidden/>
    <w:rsid w:val="00014566"/>
    <w:pPr>
      <w:numPr>
        <w:numId w:val="5"/>
      </w:numPr>
      <w:contextualSpacing/>
    </w:pPr>
  </w:style>
  <w:style w:type="paragraph" w:styleId="Puntoelenco3">
    <w:name w:val="List Bullet 3"/>
    <w:basedOn w:val="Normale"/>
    <w:uiPriority w:val="99"/>
    <w:semiHidden/>
    <w:rsid w:val="00014566"/>
    <w:pPr>
      <w:numPr>
        <w:numId w:val="6"/>
      </w:numPr>
      <w:contextualSpacing/>
    </w:pPr>
  </w:style>
  <w:style w:type="paragraph" w:styleId="Puntoelenco4">
    <w:name w:val="List Bullet 4"/>
    <w:basedOn w:val="Normale"/>
    <w:uiPriority w:val="99"/>
    <w:semiHidden/>
    <w:rsid w:val="00014566"/>
    <w:pPr>
      <w:numPr>
        <w:numId w:val="7"/>
      </w:numPr>
      <w:contextualSpacing/>
    </w:pPr>
  </w:style>
  <w:style w:type="paragraph" w:styleId="Puntoelenco5">
    <w:name w:val="List Bullet 5"/>
    <w:basedOn w:val="Normale"/>
    <w:uiPriority w:val="99"/>
    <w:semiHidden/>
    <w:rsid w:val="00014566"/>
    <w:pPr>
      <w:numPr>
        <w:numId w:val="8"/>
      </w:numPr>
      <w:contextualSpacing/>
    </w:pPr>
  </w:style>
  <w:style w:type="paragraph" w:styleId="Elencocontinua">
    <w:name w:val="List Continue"/>
    <w:basedOn w:val="Normale"/>
    <w:uiPriority w:val="99"/>
    <w:semiHidden/>
    <w:rsid w:val="00014566"/>
    <w:pPr>
      <w:spacing w:after="120"/>
      <w:ind w:left="283"/>
      <w:contextualSpacing/>
    </w:pPr>
  </w:style>
  <w:style w:type="paragraph" w:styleId="Elencocontinua2">
    <w:name w:val="List Continue 2"/>
    <w:basedOn w:val="Normale"/>
    <w:uiPriority w:val="99"/>
    <w:semiHidden/>
    <w:rsid w:val="00014566"/>
    <w:pPr>
      <w:spacing w:after="120"/>
      <w:ind w:left="566"/>
      <w:contextualSpacing/>
    </w:pPr>
  </w:style>
  <w:style w:type="paragraph" w:styleId="Elencocontinua3">
    <w:name w:val="List Continue 3"/>
    <w:basedOn w:val="Normale"/>
    <w:uiPriority w:val="99"/>
    <w:semiHidden/>
    <w:rsid w:val="00014566"/>
    <w:pPr>
      <w:spacing w:after="120"/>
      <w:ind w:left="849"/>
      <w:contextualSpacing/>
    </w:pPr>
  </w:style>
  <w:style w:type="paragraph" w:styleId="Elencocontinua4">
    <w:name w:val="List Continue 4"/>
    <w:basedOn w:val="Normale"/>
    <w:uiPriority w:val="99"/>
    <w:semiHidden/>
    <w:rsid w:val="00014566"/>
    <w:pPr>
      <w:spacing w:after="120"/>
      <w:ind w:left="1132"/>
      <w:contextualSpacing/>
    </w:pPr>
  </w:style>
  <w:style w:type="paragraph" w:styleId="Elencocontinua5">
    <w:name w:val="List Continue 5"/>
    <w:basedOn w:val="Normale"/>
    <w:uiPriority w:val="99"/>
    <w:semiHidden/>
    <w:rsid w:val="00014566"/>
    <w:pPr>
      <w:spacing w:after="120"/>
      <w:ind w:left="1415"/>
      <w:contextualSpacing/>
    </w:pPr>
  </w:style>
  <w:style w:type="paragraph" w:styleId="Numeroelenco">
    <w:name w:val="List Number"/>
    <w:basedOn w:val="Normale"/>
    <w:uiPriority w:val="99"/>
    <w:semiHidden/>
    <w:rsid w:val="00014566"/>
    <w:pPr>
      <w:numPr>
        <w:numId w:val="9"/>
      </w:numPr>
      <w:contextualSpacing/>
    </w:pPr>
  </w:style>
  <w:style w:type="paragraph" w:styleId="Numeroelenco2">
    <w:name w:val="List Number 2"/>
    <w:basedOn w:val="Normale"/>
    <w:uiPriority w:val="99"/>
    <w:semiHidden/>
    <w:rsid w:val="00014566"/>
    <w:pPr>
      <w:numPr>
        <w:numId w:val="10"/>
      </w:numPr>
      <w:contextualSpacing/>
    </w:pPr>
  </w:style>
  <w:style w:type="paragraph" w:styleId="Numeroelenco3">
    <w:name w:val="List Number 3"/>
    <w:basedOn w:val="Normale"/>
    <w:uiPriority w:val="99"/>
    <w:semiHidden/>
    <w:rsid w:val="00014566"/>
    <w:pPr>
      <w:numPr>
        <w:numId w:val="11"/>
      </w:numPr>
      <w:contextualSpacing/>
    </w:pPr>
  </w:style>
  <w:style w:type="paragraph" w:styleId="Numeroelenco4">
    <w:name w:val="List Number 4"/>
    <w:basedOn w:val="Normale"/>
    <w:uiPriority w:val="99"/>
    <w:semiHidden/>
    <w:rsid w:val="00014566"/>
    <w:pPr>
      <w:numPr>
        <w:numId w:val="12"/>
      </w:numPr>
      <w:contextualSpacing/>
    </w:pPr>
  </w:style>
  <w:style w:type="paragraph" w:styleId="Numeroelenco5">
    <w:name w:val="List Number 5"/>
    <w:basedOn w:val="Normale"/>
    <w:uiPriority w:val="99"/>
    <w:semiHidden/>
    <w:rsid w:val="00014566"/>
    <w:pPr>
      <w:numPr>
        <w:numId w:val="13"/>
      </w:numPr>
      <w:contextualSpacing/>
    </w:pPr>
  </w:style>
  <w:style w:type="paragraph" w:styleId="Testomacro">
    <w:name w:val="macro"/>
    <w:link w:val="TestomacroCarattere"/>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stomacroCarattere">
    <w:name w:val="Testo macro Carattere"/>
    <w:basedOn w:val="Carpredefinitoparagrafo"/>
    <w:link w:val="Testomacro"/>
    <w:uiPriority w:val="99"/>
    <w:semiHidden/>
    <w:rsid w:val="00014566"/>
    <w:rPr>
      <w:rFonts w:ascii="Consolas" w:hAnsi="Consolas" w:cs="Consolas"/>
      <w:sz w:val="20"/>
      <w:szCs w:val="20"/>
      <w:lang w:val="en-GB" w:eastAsia="fr-FR"/>
    </w:rPr>
  </w:style>
  <w:style w:type="table" w:styleId="Grigliamedia1">
    <w:name w:val="Medium Grid 1"/>
    <w:basedOn w:val="Tabellanormale"/>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14566"/>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14566"/>
    <w:rPr>
      <w:rFonts w:ascii="Times New Roman" w:hAnsi="Times New Roman" w:cs="Times New Roman"/>
      <w:szCs w:val="24"/>
    </w:rPr>
  </w:style>
  <w:style w:type="paragraph" w:styleId="Rientronormale">
    <w:name w:val="Normal Indent"/>
    <w:basedOn w:val="Normale"/>
    <w:uiPriority w:val="99"/>
    <w:semiHidden/>
    <w:rsid w:val="00014566"/>
    <w:pPr>
      <w:ind w:left="720"/>
    </w:pPr>
  </w:style>
  <w:style w:type="paragraph" w:styleId="Intestazionenota">
    <w:name w:val="Note Heading"/>
    <w:basedOn w:val="Normale"/>
    <w:next w:val="Normale"/>
    <w:link w:val="IntestazionenotaCarattere"/>
    <w:uiPriority w:val="99"/>
    <w:semiHidden/>
    <w:rsid w:val="00014566"/>
  </w:style>
  <w:style w:type="character" w:customStyle="1" w:styleId="IntestazionenotaCarattere">
    <w:name w:val="Intestazione nota Carattere"/>
    <w:basedOn w:val="Carpredefinitoparagrafo"/>
    <w:link w:val="Intestazionenota"/>
    <w:uiPriority w:val="99"/>
    <w:semiHidden/>
    <w:rsid w:val="00014566"/>
    <w:rPr>
      <w:rFonts w:eastAsiaTheme="minorEastAsia"/>
      <w:sz w:val="24"/>
    </w:rPr>
  </w:style>
  <w:style w:type="character" w:styleId="Testosegnaposto">
    <w:name w:val="Placeholder Text"/>
    <w:basedOn w:val="Carpredefinitoparagrafo"/>
    <w:uiPriority w:val="99"/>
    <w:semiHidden/>
    <w:rsid w:val="00CF78F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014566"/>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14566"/>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14566"/>
  </w:style>
  <w:style w:type="character" w:customStyle="1" w:styleId="FormuladiaperturaCarattere">
    <w:name w:val="Formula di apertura Carattere"/>
    <w:basedOn w:val="Carpredefinitoparagrafo"/>
    <w:link w:val="Formuladiapertura"/>
    <w:uiPriority w:val="99"/>
    <w:semiHidden/>
    <w:rsid w:val="00014566"/>
    <w:rPr>
      <w:rFonts w:eastAsiaTheme="minorEastAsia"/>
      <w:sz w:val="24"/>
    </w:rPr>
  </w:style>
  <w:style w:type="paragraph" w:styleId="Firma">
    <w:name w:val="Signature"/>
    <w:basedOn w:val="Normale"/>
    <w:link w:val="FirmaCarattere"/>
    <w:uiPriority w:val="99"/>
    <w:semiHidden/>
    <w:rsid w:val="00014566"/>
    <w:pPr>
      <w:ind w:left="4252"/>
    </w:pPr>
  </w:style>
  <w:style w:type="character" w:customStyle="1" w:styleId="FirmaCarattere">
    <w:name w:val="Firma Carattere"/>
    <w:basedOn w:val="Carpredefinitoparagrafo"/>
    <w:link w:val="Firma"/>
    <w:uiPriority w:val="99"/>
    <w:semiHidden/>
    <w:rsid w:val="00014566"/>
    <w:rPr>
      <w:rFonts w:eastAsiaTheme="minorEastAsia"/>
      <w:sz w:val="24"/>
    </w:rPr>
  </w:style>
  <w:style w:type="table" w:styleId="Tabellaeffetti3D1">
    <w:name w:val="Table 3D effects 1"/>
    <w:basedOn w:val="Tabellanormale"/>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14566"/>
    <w:pPr>
      <w:ind w:left="240" w:hanging="240"/>
    </w:pPr>
  </w:style>
  <w:style w:type="paragraph" w:styleId="Indicedellefigure">
    <w:name w:val="table of figures"/>
    <w:basedOn w:val="Normale"/>
    <w:next w:val="Normale"/>
    <w:uiPriority w:val="99"/>
    <w:semiHidden/>
    <w:rsid w:val="00014566"/>
  </w:style>
  <w:style w:type="table" w:styleId="Tabellaprofessionale">
    <w:name w:val="Table Professional"/>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CF78F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CF78F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014566"/>
    <w:pPr>
      <w:spacing w:after="100"/>
      <w:ind w:left="1680"/>
    </w:pPr>
  </w:style>
  <w:style w:type="paragraph" w:styleId="Sommario9">
    <w:name w:val="toc 9"/>
    <w:basedOn w:val="Normale"/>
    <w:next w:val="Normale"/>
    <w:autoRedefine/>
    <w:uiPriority w:val="99"/>
    <w:semiHidden/>
    <w:rsid w:val="00014566"/>
    <w:pPr>
      <w:spacing w:after="100"/>
      <w:ind w:left="1920"/>
    </w:pPr>
  </w:style>
  <w:style w:type="paragraph" w:customStyle="1" w:styleId="JuCourt">
    <w:name w:val="Ju_Court"/>
    <w:basedOn w:val="Normale"/>
    <w:next w:val="Normale"/>
    <w:uiPriority w:val="16"/>
    <w:qFormat/>
    <w:rsid w:val="0010038B"/>
    <w:pPr>
      <w:tabs>
        <w:tab w:val="left" w:pos="907"/>
        <w:tab w:val="left" w:pos="1701"/>
        <w:tab w:val="right" w:pos="7371"/>
      </w:tabs>
      <w:spacing w:before="240"/>
      <w:ind w:left="397" w:hanging="397"/>
      <w:jc w:val="left"/>
    </w:pPr>
    <w:rPr>
      <w:lang w:val="en-GB" w:bidi="en-US"/>
    </w:rPr>
  </w:style>
  <w:style w:type="paragraph" w:customStyle="1" w:styleId="DecList">
    <w:name w:val="Dec_List"/>
    <w:basedOn w:val="Normale"/>
    <w:uiPriority w:val="9"/>
    <w:semiHidden/>
    <w:qFormat/>
    <w:rsid w:val="0010038B"/>
    <w:pPr>
      <w:spacing w:before="240"/>
      <w:ind w:left="284"/>
    </w:pPr>
    <w:rPr>
      <w:lang w:val="en-GB"/>
    </w:rPr>
  </w:style>
  <w:style w:type="paragraph" w:customStyle="1" w:styleId="OpiH1">
    <w:name w:val="Opi_H_1"/>
    <w:basedOn w:val="ECHRHeading2"/>
    <w:uiPriority w:val="42"/>
    <w:qFormat/>
    <w:rsid w:val="0010038B"/>
    <w:pPr>
      <w:ind w:left="635" w:hanging="357"/>
      <w:outlineLvl w:val="2"/>
    </w:pPr>
  </w:style>
  <w:style w:type="paragraph" w:customStyle="1" w:styleId="OpiHa0">
    <w:name w:val="Opi_H_a"/>
    <w:basedOn w:val="ECHRHeading3"/>
    <w:uiPriority w:val="43"/>
    <w:qFormat/>
    <w:rsid w:val="0010038B"/>
    <w:pPr>
      <w:ind w:left="833" w:hanging="357"/>
      <w:outlineLvl w:val="3"/>
    </w:pPr>
    <w:rPr>
      <w:b/>
      <w:i w:val="0"/>
      <w:sz w:val="20"/>
    </w:rPr>
  </w:style>
  <w:style w:type="paragraph" w:customStyle="1" w:styleId="OpiHi">
    <w:name w:val="Opi_H_i"/>
    <w:basedOn w:val="ECHRHeading4"/>
    <w:uiPriority w:val="44"/>
    <w:qFormat/>
    <w:rsid w:val="0010038B"/>
    <w:pPr>
      <w:ind w:left="1037" w:hanging="357"/>
      <w:outlineLvl w:val="4"/>
    </w:pPr>
    <w:rPr>
      <w:b w:val="0"/>
      <w:i/>
    </w:rPr>
  </w:style>
  <w:style w:type="paragraph" w:customStyle="1" w:styleId="DummyStyle">
    <w:name w:val="Dummy_Style"/>
    <w:basedOn w:val="Normale"/>
    <w:semiHidden/>
    <w:qFormat/>
    <w:rsid w:val="0010038B"/>
    <w:rPr>
      <w:color w:val="00B050"/>
      <w:lang w:val="en-GB"/>
    </w:rPr>
  </w:style>
  <w:style w:type="paragraph" w:customStyle="1" w:styleId="JuHeaderLandscape">
    <w:name w:val="Ju_Header_Landscape"/>
    <w:basedOn w:val="ECHRHeader"/>
    <w:uiPriority w:val="4"/>
    <w:qFormat/>
    <w:rsid w:val="0010038B"/>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2E0273"/>
    <w:rPr>
      <w:rFonts w:eastAsiaTheme="minorEastAsia"/>
      <w:sz w:val="24"/>
      <w:lang w:val="en-GB"/>
    </w:rPr>
  </w:style>
  <w:style w:type="paragraph" w:styleId="Revisione">
    <w:name w:val="Revision"/>
    <w:hidden/>
    <w:uiPriority w:val="99"/>
    <w:semiHidden/>
    <w:rsid w:val="00A924F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5302">
      <w:bodyDiv w:val="1"/>
      <w:marLeft w:val="0"/>
      <w:marRight w:val="0"/>
      <w:marTop w:val="0"/>
      <w:marBottom w:val="0"/>
      <w:divBdr>
        <w:top w:val="none" w:sz="0" w:space="0" w:color="auto"/>
        <w:left w:val="none" w:sz="0" w:space="0" w:color="auto"/>
        <w:bottom w:val="none" w:sz="0" w:space="0" w:color="auto"/>
        <w:right w:val="none" w:sz="0" w:space="0" w:color="auto"/>
      </w:divBdr>
      <w:divsChild>
        <w:div w:id="1026831994">
          <w:marLeft w:val="0"/>
          <w:marRight w:val="0"/>
          <w:marTop w:val="0"/>
          <w:marBottom w:val="0"/>
          <w:divBdr>
            <w:top w:val="none" w:sz="0" w:space="0" w:color="auto"/>
            <w:left w:val="none" w:sz="0" w:space="0" w:color="auto"/>
            <w:bottom w:val="none" w:sz="0" w:space="0" w:color="auto"/>
            <w:right w:val="none" w:sz="0" w:space="0" w:color="auto"/>
          </w:divBdr>
          <w:divsChild>
            <w:div w:id="1915430596">
              <w:marLeft w:val="0"/>
              <w:marRight w:val="0"/>
              <w:marTop w:val="0"/>
              <w:marBottom w:val="0"/>
              <w:divBdr>
                <w:top w:val="none" w:sz="0" w:space="0" w:color="auto"/>
                <w:left w:val="none" w:sz="0" w:space="0" w:color="auto"/>
                <w:bottom w:val="none" w:sz="0" w:space="0" w:color="auto"/>
                <w:right w:val="none" w:sz="0" w:space="0" w:color="auto"/>
              </w:divBdr>
              <w:divsChild>
                <w:div w:id="1584027260">
                  <w:marLeft w:val="0"/>
                  <w:marRight w:val="0"/>
                  <w:marTop w:val="0"/>
                  <w:marBottom w:val="0"/>
                  <w:divBdr>
                    <w:top w:val="none" w:sz="0" w:space="0" w:color="auto"/>
                    <w:left w:val="none" w:sz="0" w:space="0" w:color="auto"/>
                    <w:bottom w:val="none" w:sz="0" w:space="0" w:color="auto"/>
                    <w:right w:val="none" w:sz="0" w:space="0" w:color="auto"/>
                  </w:divBdr>
                  <w:divsChild>
                    <w:div w:id="917058446">
                      <w:marLeft w:val="0"/>
                      <w:marRight w:val="0"/>
                      <w:marTop w:val="0"/>
                      <w:marBottom w:val="0"/>
                      <w:divBdr>
                        <w:top w:val="none" w:sz="0" w:space="0" w:color="auto"/>
                        <w:left w:val="none" w:sz="0" w:space="0" w:color="auto"/>
                        <w:bottom w:val="none" w:sz="0" w:space="0" w:color="auto"/>
                        <w:right w:val="none" w:sz="0" w:space="0" w:color="auto"/>
                      </w:divBdr>
                      <w:divsChild>
                        <w:div w:id="67659868">
                          <w:marLeft w:val="0"/>
                          <w:marRight w:val="0"/>
                          <w:marTop w:val="0"/>
                          <w:marBottom w:val="0"/>
                          <w:divBdr>
                            <w:top w:val="none" w:sz="0" w:space="0" w:color="auto"/>
                            <w:left w:val="none" w:sz="0" w:space="0" w:color="auto"/>
                            <w:bottom w:val="none" w:sz="0" w:space="0" w:color="auto"/>
                            <w:right w:val="none" w:sz="0" w:space="0" w:color="auto"/>
                          </w:divBdr>
                          <w:divsChild>
                            <w:div w:id="20780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7190">
      <w:bodyDiv w:val="1"/>
      <w:marLeft w:val="0"/>
      <w:marRight w:val="0"/>
      <w:marTop w:val="0"/>
      <w:marBottom w:val="0"/>
      <w:divBdr>
        <w:top w:val="none" w:sz="0" w:space="0" w:color="auto"/>
        <w:left w:val="none" w:sz="0" w:space="0" w:color="auto"/>
        <w:bottom w:val="none" w:sz="0" w:space="0" w:color="auto"/>
        <w:right w:val="none" w:sz="0" w:space="0" w:color="auto"/>
      </w:divBdr>
    </w:div>
    <w:div w:id="195509816">
      <w:bodyDiv w:val="1"/>
      <w:marLeft w:val="0"/>
      <w:marRight w:val="0"/>
      <w:marTop w:val="0"/>
      <w:marBottom w:val="0"/>
      <w:divBdr>
        <w:top w:val="none" w:sz="0" w:space="0" w:color="auto"/>
        <w:left w:val="none" w:sz="0" w:space="0" w:color="auto"/>
        <w:bottom w:val="none" w:sz="0" w:space="0" w:color="auto"/>
        <w:right w:val="none" w:sz="0" w:space="0" w:color="auto"/>
      </w:divBdr>
      <w:divsChild>
        <w:div w:id="1976330271">
          <w:marLeft w:val="0"/>
          <w:marRight w:val="0"/>
          <w:marTop w:val="0"/>
          <w:marBottom w:val="0"/>
          <w:divBdr>
            <w:top w:val="none" w:sz="0" w:space="0" w:color="auto"/>
            <w:left w:val="none" w:sz="0" w:space="0" w:color="auto"/>
            <w:bottom w:val="none" w:sz="0" w:space="0" w:color="auto"/>
            <w:right w:val="none" w:sz="0" w:space="0" w:color="auto"/>
          </w:divBdr>
          <w:divsChild>
            <w:div w:id="807748189">
              <w:marLeft w:val="0"/>
              <w:marRight w:val="0"/>
              <w:marTop w:val="0"/>
              <w:marBottom w:val="0"/>
              <w:divBdr>
                <w:top w:val="none" w:sz="0" w:space="0" w:color="auto"/>
                <w:left w:val="none" w:sz="0" w:space="0" w:color="auto"/>
                <w:bottom w:val="none" w:sz="0" w:space="0" w:color="auto"/>
                <w:right w:val="none" w:sz="0" w:space="0" w:color="auto"/>
              </w:divBdr>
              <w:divsChild>
                <w:div w:id="1435177026">
                  <w:marLeft w:val="0"/>
                  <w:marRight w:val="0"/>
                  <w:marTop w:val="0"/>
                  <w:marBottom w:val="0"/>
                  <w:divBdr>
                    <w:top w:val="none" w:sz="0" w:space="0" w:color="auto"/>
                    <w:left w:val="none" w:sz="0" w:space="0" w:color="auto"/>
                    <w:bottom w:val="none" w:sz="0" w:space="0" w:color="auto"/>
                    <w:right w:val="none" w:sz="0" w:space="0" w:color="auto"/>
                  </w:divBdr>
                  <w:divsChild>
                    <w:div w:id="801507487">
                      <w:marLeft w:val="0"/>
                      <w:marRight w:val="0"/>
                      <w:marTop w:val="0"/>
                      <w:marBottom w:val="0"/>
                      <w:divBdr>
                        <w:top w:val="none" w:sz="0" w:space="0" w:color="auto"/>
                        <w:left w:val="none" w:sz="0" w:space="0" w:color="auto"/>
                        <w:bottom w:val="none" w:sz="0" w:space="0" w:color="auto"/>
                        <w:right w:val="none" w:sz="0" w:space="0" w:color="auto"/>
                      </w:divBdr>
                      <w:divsChild>
                        <w:div w:id="1175731809">
                          <w:marLeft w:val="0"/>
                          <w:marRight w:val="0"/>
                          <w:marTop w:val="0"/>
                          <w:marBottom w:val="0"/>
                          <w:divBdr>
                            <w:top w:val="none" w:sz="0" w:space="0" w:color="auto"/>
                            <w:left w:val="none" w:sz="0" w:space="0" w:color="auto"/>
                            <w:bottom w:val="none" w:sz="0" w:space="0" w:color="auto"/>
                            <w:right w:val="none" w:sz="0" w:space="0" w:color="auto"/>
                          </w:divBdr>
                          <w:divsChild>
                            <w:div w:id="18708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494425">
      <w:bodyDiv w:val="1"/>
      <w:marLeft w:val="0"/>
      <w:marRight w:val="0"/>
      <w:marTop w:val="0"/>
      <w:marBottom w:val="0"/>
      <w:divBdr>
        <w:top w:val="none" w:sz="0" w:space="0" w:color="auto"/>
        <w:left w:val="none" w:sz="0" w:space="0" w:color="auto"/>
        <w:bottom w:val="none" w:sz="0" w:space="0" w:color="auto"/>
        <w:right w:val="none" w:sz="0" w:space="0" w:color="auto"/>
      </w:divBdr>
      <w:divsChild>
        <w:div w:id="1577324562">
          <w:marLeft w:val="0"/>
          <w:marRight w:val="0"/>
          <w:marTop w:val="0"/>
          <w:marBottom w:val="0"/>
          <w:divBdr>
            <w:top w:val="none" w:sz="0" w:space="0" w:color="auto"/>
            <w:left w:val="none" w:sz="0" w:space="0" w:color="auto"/>
            <w:bottom w:val="none" w:sz="0" w:space="0" w:color="auto"/>
            <w:right w:val="none" w:sz="0" w:space="0" w:color="auto"/>
          </w:divBdr>
          <w:divsChild>
            <w:div w:id="1670400788">
              <w:marLeft w:val="0"/>
              <w:marRight w:val="0"/>
              <w:marTop w:val="0"/>
              <w:marBottom w:val="0"/>
              <w:divBdr>
                <w:top w:val="none" w:sz="0" w:space="0" w:color="auto"/>
                <w:left w:val="none" w:sz="0" w:space="0" w:color="auto"/>
                <w:bottom w:val="none" w:sz="0" w:space="0" w:color="auto"/>
                <w:right w:val="none" w:sz="0" w:space="0" w:color="auto"/>
              </w:divBdr>
              <w:divsChild>
                <w:div w:id="1849246637">
                  <w:marLeft w:val="0"/>
                  <w:marRight w:val="0"/>
                  <w:marTop w:val="0"/>
                  <w:marBottom w:val="0"/>
                  <w:divBdr>
                    <w:top w:val="none" w:sz="0" w:space="0" w:color="auto"/>
                    <w:left w:val="none" w:sz="0" w:space="0" w:color="auto"/>
                    <w:bottom w:val="none" w:sz="0" w:space="0" w:color="auto"/>
                    <w:right w:val="none" w:sz="0" w:space="0" w:color="auto"/>
                  </w:divBdr>
                  <w:divsChild>
                    <w:div w:id="157305424">
                      <w:marLeft w:val="0"/>
                      <w:marRight w:val="0"/>
                      <w:marTop w:val="0"/>
                      <w:marBottom w:val="0"/>
                      <w:divBdr>
                        <w:top w:val="none" w:sz="0" w:space="0" w:color="auto"/>
                        <w:left w:val="none" w:sz="0" w:space="0" w:color="auto"/>
                        <w:bottom w:val="none" w:sz="0" w:space="0" w:color="auto"/>
                        <w:right w:val="none" w:sz="0" w:space="0" w:color="auto"/>
                      </w:divBdr>
                      <w:divsChild>
                        <w:div w:id="1643265966">
                          <w:marLeft w:val="0"/>
                          <w:marRight w:val="0"/>
                          <w:marTop w:val="0"/>
                          <w:marBottom w:val="0"/>
                          <w:divBdr>
                            <w:top w:val="none" w:sz="0" w:space="0" w:color="auto"/>
                            <w:left w:val="none" w:sz="0" w:space="0" w:color="auto"/>
                            <w:bottom w:val="none" w:sz="0" w:space="0" w:color="auto"/>
                            <w:right w:val="none" w:sz="0" w:space="0" w:color="auto"/>
                          </w:divBdr>
                          <w:divsChild>
                            <w:div w:id="11787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90747">
      <w:bodyDiv w:val="1"/>
      <w:marLeft w:val="0"/>
      <w:marRight w:val="0"/>
      <w:marTop w:val="0"/>
      <w:marBottom w:val="0"/>
      <w:divBdr>
        <w:top w:val="none" w:sz="0" w:space="0" w:color="auto"/>
        <w:left w:val="none" w:sz="0" w:space="0" w:color="auto"/>
        <w:bottom w:val="none" w:sz="0" w:space="0" w:color="auto"/>
        <w:right w:val="none" w:sz="0" w:space="0" w:color="auto"/>
      </w:divBdr>
      <w:divsChild>
        <w:div w:id="1506286247">
          <w:marLeft w:val="0"/>
          <w:marRight w:val="0"/>
          <w:marTop w:val="0"/>
          <w:marBottom w:val="0"/>
          <w:divBdr>
            <w:top w:val="none" w:sz="0" w:space="0" w:color="auto"/>
            <w:left w:val="none" w:sz="0" w:space="0" w:color="auto"/>
            <w:bottom w:val="none" w:sz="0" w:space="0" w:color="auto"/>
            <w:right w:val="none" w:sz="0" w:space="0" w:color="auto"/>
          </w:divBdr>
          <w:divsChild>
            <w:div w:id="2022507045">
              <w:marLeft w:val="0"/>
              <w:marRight w:val="0"/>
              <w:marTop w:val="0"/>
              <w:marBottom w:val="0"/>
              <w:divBdr>
                <w:top w:val="none" w:sz="0" w:space="0" w:color="auto"/>
                <w:left w:val="none" w:sz="0" w:space="0" w:color="auto"/>
                <w:bottom w:val="none" w:sz="0" w:space="0" w:color="auto"/>
                <w:right w:val="none" w:sz="0" w:space="0" w:color="auto"/>
              </w:divBdr>
              <w:divsChild>
                <w:div w:id="770050192">
                  <w:marLeft w:val="0"/>
                  <w:marRight w:val="0"/>
                  <w:marTop w:val="0"/>
                  <w:marBottom w:val="0"/>
                  <w:divBdr>
                    <w:top w:val="none" w:sz="0" w:space="0" w:color="auto"/>
                    <w:left w:val="none" w:sz="0" w:space="0" w:color="auto"/>
                    <w:bottom w:val="none" w:sz="0" w:space="0" w:color="auto"/>
                    <w:right w:val="none" w:sz="0" w:space="0" w:color="auto"/>
                  </w:divBdr>
                  <w:divsChild>
                    <w:div w:id="310720070">
                      <w:marLeft w:val="0"/>
                      <w:marRight w:val="0"/>
                      <w:marTop w:val="0"/>
                      <w:marBottom w:val="0"/>
                      <w:divBdr>
                        <w:top w:val="none" w:sz="0" w:space="0" w:color="auto"/>
                        <w:left w:val="none" w:sz="0" w:space="0" w:color="auto"/>
                        <w:bottom w:val="none" w:sz="0" w:space="0" w:color="auto"/>
                        <w:right w:val="none" w:sz="0" w:space="0" w:color="auto"/>
                      </w:divBdr>
                      <w:divsChild>
                        <w:div w:id="597450709">
                          <w:marLeft w:val="0"/>
                          <w:marRight w:val="0"/>
                          <w:marTop w:val="0"/>
                          <w:marBottom w:val="0"/>
                          <w:divBdr>
                            <w:top w:val="none" w:sz="0" w:space="0" w:color="auto"/>
                            <w:left w:val="none" w:sz="0" w:space="0" w:color="auto"/>
                            <w:bottom w:val="none" w:sz="0" w:space="0" w:color="auto"/>
                            <w:right w:val="none" w:sz="0" w:space="0" w:color="auto"/>
                          </w:divBdr>
                          <w:divsChild>
                            <w:div w:id="5822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106811">
      <w:bodyDiv w:val="1"/>
      <w:marLeft w:val="0"/>
      <w:marRight w:val="0"/>
      <w:marTop w:val="0"/>
      <w:marBottom w:val="0"/>
      <w:divBdr>
        <w:top w:val="none" w:sz="0" w:space="0" w:color="auto"/>
        <w:left w:val="none" w:sz="0" w:space="0" w:color="auto"/>
        <w:bottom w:val="none" w:sz="0" w:space="0" w:color="auto"/>
        <w:right w:val="none" w:sz="0" w:space="0" w:color="auto"/>
      </w:divBdr>
      <w:divsChild>
        <w:div w:id="1763992133">
          <w:marLeft w:val="0"/>
          <w:marRight w:val="0"/>
          <w:marTop w:val="0"/>
          <w:marBottom w:val="0"/>
          <w:divBdr>
            <w:top w:val="none" w:sz="0" w:space="0" w:color="auto"/>
            <w:left w:val="none" w:sz="0" w:space="0" w:color="auto"/>
            <w:bottom w:val="none" w:sz="0" w:space="0" w:color="auto"/>
            <w:right w:val="none" w:sz="0" w:space="0" w:color="auto"/>
          </w:divBdr>
          <w:divsChild>
            <w:div w:id="1708796934">
              <w:marLeft w:val="0"/>
              <w:marRight w:val="0"/>
              <w:marTop w:val="0"/>
              <w:marBottom w:val="0"/>
              <w:divBdr>
                <w:top w:val="none" w:sz="0" w:space="0" w:color="auto"/>
                <w:left w:val="none" w:sz="0" w:space="0" w:color="auto"/>
                <w:bottom w:val="none" w:sz="0" w:space="0" w:color="auto"/>
                <w:right w:val="none" w:sz="0" w:space="0" w:color="auto"/>
              </w:divBdr>
              <w:divsChild>
                <w:div w:id="604927701">
                  <w:marLeft w:val="0"/>
                  <w:marRight w:val="0"/>
                  <w:marTop w:val="0"/>
                  <w:marBottom w:val="0"/>
                  <w:divBdr>
                    <w:top w:val="none" w:sz="0" w:space="0" w:color="auto"/>
                    <w:left w:val="none" w:sz="0" w:space="0" w:color="auto"/>
                    <w:bottom w:val="single" w:sz="6" w:space="0" w:color="DDDDDD"/>
                    <w:right w:val="none" w:sz="0" w:space="0" w:color="auto"/>
                  </w:divBdr>
                  <w:divsChild>
                    <w:div w:id="16478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23040">
      <w:bodyDiv w:val="1"/>
      <w:marLeft w:val="0"/>
      <w:marRight w:val="0"/>
      <w:marTop w:val="0"/>
      <w:marBottom w:val="0"/>
      <w:divBdr>
        <w:top w:val="none" w:sz="0" w:space="0" w:color="auto"/>
        <w:left w:val="none" w:sz="0" w:space="0" w:color="auto"/>
        <w:bottom w:val="none" w:sz="0" w:space="0" w:color="auto"/>
        <w:right w:val="none" w:sz="0" w:space="0" w:color="auto"/>
      </w:divBdr>
      <w:divsChild>
        <w:div w:id="260797482">
          <w:marLeft w:val="0"/>
          <w:marRight w:val="0"/>
          <w:marTop w:val="0"/>
          <w:marBottom w:val="0"/>
          <w:divBdr>
            <w:top w:val="none" w:sz="0" w:space="0" w:color="auto"/>
            <w:left w:val="none" w:sz="0" w:space="0" w:color="auto"/>
            <w:bottom w:val="none" w:sz="0" w:space="0" w:color="auto"/>
            <w:right w:val="none" w:sz="0" w:space="0" w:color="auto"/>
          </w:divBdr>
          <w:divsChild>
            <w:div w:id="985817762">
              <w:marLeft w:val="0"/>
              <w:marRight w:val="0"/>
              <w:marTop w:val="0"/>
              <w:marBottom w:val="0"/>
              <w:divBdr>
                <w:top w:val="none" w:sz="0" w:space="0" w:color="auto"/>
                <w:left w:val="none" w:sz="0" w:space="0" w:color="auto"/>
                <w:bottom w:val="none" w:sz="0" w:space="0" w:color="auto"/>
                <w:right w:val="none" w:sz="0" w:space="0" w:color="auto"/>
              </w:divBdr>
              <w:divsChild>
                <w:div w:id="644092484">
                  <w:marLeft w:val="0"/>
                  <w:marRight w:val="0"/>
                  <w:marTop w:val="0"/>
                  <w:marBottom w:val="0"/>
                  <w:divBdr>
                    <w:top w:val="none" w:sz="0" w:space="0" w:color="auto"/>
                    <w:left w:val="none" w:sz="0" w:space="0" w:color="auto"/>
                    <w:bottom w:val="none" w:sz="0" w:space="0" w:color="auto"/>
                    <w:right w:val="none" w:sz="0" w:space="0" w:color="auto"/>
                  </w:divBdr>
                  <w:divsChild>
                    <w:div w:id="1561675568">
                      <w:marLeft w:val="0"/>
                      <w:marRight w:val="0"/>
                      <w:marTop w:val="0"/>
                      <w:marBottom w:val="0"/>
                      <w:divBdr>
                        <w:top w:val="none" w:sz="0" w:space="0" w:color="auto"/>
                        <w:left w:val="none" w:sz="0" w:space="0" w:color="auto"/>
                        <w:bottom w:val="none" w:sz="0" w:space="0" w:color="auto"/>
                        <w:right w:val="none" w:sz="0" w:space="0" w:color="auto"/>
                      </w:divBdr>
                      <w:divsChild>
                        <w:div w:id="162749295">
                          <w:marLeft w:val="0"/>
                          <w:marRight w:val="0"/>
                          <w:marTop w:val="0"/>
                          <w:marBottom w:val="0"/>
                          <w:divBdr>
                            <w:top w:val="none" w:sz="0" w:space="0" w:color="auto"/>
                            <w:left w:val="none" w:sz="0" w:space="0" w:color="auto"/>
                            <w:bottom w:val="none" w:sz="0" w:space="0" w:color="auto"/>
                            <w:right w:val="none" w:sz="0" w:space="0" w:color="auto"/>
                          </w:divBdr>
                          <w:divsChild>
                            <w:div w:id="11860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74805">
      <w:bodyDiv w:val="1"/>
      <w:marLeft w:val="0"/>
      <w:marRight w:val="0"/>
      <w:marTop w:val="0"/>
      <w:marBottom w:val="0"/>
      <w:divBdr>
        <w:top w:val="none" w:sz="0" w:space="0" w:color="auto"/>
        <w:left w:val="none" w:sz="0" w:space="0" w:color="auto"/>
        <w:bottom w:val="none" w:sz="0" w:space="0" w:color="auto"/>
        <w:right w:val="none" w:sz="0" w:space="0" w:color="auto"/>
      </w:divBdr>
      <w:divsChild>
        <w:div w:id="41104709">
          <w:marLeft w:val="0"/>
          <w:marRight w:val="0"/>
          <w:marTop w:val="0"/>
          <w:marBottom w:val="0"/>
          <w:divBdr>
            <w:top w:val="none" w:sz="0" w:space="0" w:color="auto"/>
            <w:left w:val="none" w:sz="0" w:space="0" w:color="auto"/>
            <w:bottom w:val="none" w:sz="0" w:space="0" w:color="auto"/>
            <w:right w:val="none" w:sz="0" w:space="0" w:color="auto"/>
          </w:divBdr>
          <w:divsChild>
            <w:div w:id="1688556823">
              <w:marLeft w:val="0"/>
              <w:marRight w:val="0"/>
              <w:marTop w:val="0"/>
              <w:marBottom w:val="0"/>
              <w:divBdr>
                <w:top w:val="none" w:sz="0" w:space="0" w:color="auto"/>
                <w:left w:val="none" w:sz="0" w:space="0" w:color="auto"/>
                <w:bottom w:val="none" w:sz="0" w:space="0" w:color="auto"/>
                <w:right w:val="none" w:sz="0" w:space="0" w:color="auto"/>
              </w:divBdr>
              <w:divsChild>
                <w:div w:id="301815073">
                  <w:marLeft w:val="0"/>
                  <w:marRight w:val="0"/>
                  <w:marTop w:val="0"/>
                  <w:marBottom w:val="0"/>
                  <w:divBdr>
                    <w:top w:val="none" w:sz="0" w:space="0" w:color="auto"/>
                    <w:left w:val="none" w:sz="0" w:space="0" w:color="auto"/>
                    <w:bottom w:val="none" w:sz="0" w:space="0" w:color="auto"/>
                    <w:right w:val="none" w:sz="0" w:space="0" w:color="auto"/>
                  </w:divBdr>
                  <w:divsChild>
                    <w:div w:id="1235123703">
                      <w:marLeft w:val="0"/>
                      <w:marRight w:val="0"/>
                      <w:marTop w:val="0"/>
                      <w:marBottom w:val="0"/>
                      <w:divBdr>
                        <w:top w:val="none" w:sz="0" w:space="0" w:color="auto"/>
                        <w:left w:val="none" w:sz="0" w:space="0" w:color="auto"/>
                        <w:bottom w:val="none" w:sz="0" w:space="0" w:color="auto"/>
                        <w:right w:val="none" w:sz="0" w:space="0" w:color="auto"/>
                      </w:divBdr>
                      <w:divsChild>
                        <w:div w:id="753548227">
                          <w:marLeft w:val="0"/>
                          <w:marRight w:val="0"/>
                          <w:marTop w:val="0"/>
                          <w:marBottom w:val="0"/>
                          <w:divBdr>
                            <w:top w:val="none" w:sz="0" w:space="0" w:color="auto"/>
                            <w:left w:val="none" w:sz="0" w:space="0" w:color="auto"/>
                            <w:bottom w:val="none" w:sz="0" w:space="0" w:color="auto"/>
                            <w:right w:val="none" w:sz="0" w:space="0" w:color="auto"/>
                          </w:divBdr>
                          <w:divsChild>
                            <w:div w:id="20850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948785">
      <w:bodyDiv w:val="1"/>
      <w:marLeft w:val="0"/>
      <w:marRight w:val="0"/>
      <w:marTop w:val="0"/>
      <w:marBottom w:val="0"/>
      <w:divBdr>
        <w:top w:val="none" w:sz="0" w:space="0" w:color="auto"/>
        <w:left w:val="none" w:sz="0" w:space="0" w:color="auto"/>
        <w:bottom w:val="none" w:sz="0" w:space="0" w:color="auto"/>
        <w:right w:val="none" w:sz="0" w:space="0" w:color="auto"/>
      </w:divBdr>
      <w:divsChild>
        <w:div w:id="967509273">
          <w:marLeft w:val="0"/>
          <w:marRight w:val="0"/>
          <w:marTop w:val="0"/>
          <w:marBottom w:val="0"/>
          <w:divBdr>
            <w:top w:val="none" w:sz="0" w:space="0" w:color="auto"/>
            <w:left w:val="none" w:sz="0" w:space="0" w:color="auto"/>
            <w:bottom w:val="none" w:sz="0" w:space="0" w:color="auto"/>
            <w:right w:val="none" w:sz="0" w:space="0" w:color="auto"/>
          </w:divBdr>
          <w:divsChild>
            <w:div w:id="160387526">
              <w:marLeft w:val="0"/>
              <w:marRight w:val="0"/>
              <w:marTop w:val="0"/>
              <w:marBottom w:val="0"/>
              <w:divBdr>
                <w:top w:val="none" w:sz="0" w:space="0" w:color="auto"/>
                <w:left w:val="none" w:sz="0" w:space="0" w:color="auto"/>
                <w:bottom w:val="none" w:sz="0" w:space="0" w:color="auto"/>
                <w:right w:val="none" w:sz="0" w:space="0" w:color="auto"/>
              </w:divBdr>
              <w:divsChild>
                <w:div w:id="1584997599">
                  <w:marLeft w:val="0"/>
                  <w:marRight w:val="0"/>
                  <w:marTop w:val="0"/>
                  <w:marBottom w:val="0"/>
                  <w:divBdr>
                    <w:top w:val="none" w:sz="0" w:space="0" w:color="auto"/>
                    <w:left w:val="none" w:sz="0" w:space="0" w:color="auto"/>
                    <w:bottom w:val="none" w:sz="0" w:space="0" w:color="auto"/>
                    <w:right w:val="none" w:sz="0" w:space="0" w:color="auto"/>
                  </w:divBdr>
                  <w:divsChild>
                    <w:div w:id="2118088835">
                      <w:marLeft w:val="0"/>
                      <w:marRight w:val="0"/>
                      <w:marTop w:val="0"/>
                      <w:marBottom w:val="0"/>
                      <w:divBdr>
                        <w:top w:val="none" w:sz="0" w:space="0" w:color="auto"/>
                        <w:left w:val="none" w:sz="0" w:space="0" w:color="auto"/>
                        <w:bottom w:val="none" w:sz="0" w:space="0" w:color="auto"/>
                        <w:right w:val="none" w:sz="0" w:space="0" w:color="auto"/>
                      </w:divBdr>
                      <w:divsChild>
                        <w:div w:id="1270507857">
                          <w:marLeft w:val="0"/>
                          <w:marRight w:val="0"/>
                          <w:marTop w:val="0"/>
                          <w:marBottom w:val="0"/>
                          <w:divBdr>
                            <w:top w:val="none" w:sz="0" w:space="0" w:color="auto"/>
                            <w:left w:val="none" w:sz="0" w:space="0" w:color="auto"/>
                            <w:bottom w:val="none" w:sz="0" w:space="0" w:color="auto"/>
                            <w:right w:val="none" w:sz="0" w:space="0" w:color="auto"/>
                          </w:divBdr>
                          <w:divsChild>
                            <w:div w:id="1270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296">
      <w:bodyDiv w:val="1"/>
      <w:marLeft w:val="0"/>
      <w:marRight w:val="0"/>
      <w:marTop w:val="0"/>
      <w:marBottom w:val="0"/>
      <w:divBdr>
        <w:top w:val="none" w:sz="0" w:space="0" w:color="auto"/>
        <w:left w:val="none" w:sz="0" w:space="0" w:color="auto"/>
        <w:bottom w:val="none" w:sz="0" w:space="0" w:color="auto"/>
        <w:right w:val="none" w:sz="0" w:space="0" w:color="auto"/>
      </w:divBdr>
      <w:divsChild>
        <w:div w:id="256720401">
          <w:marLeft w:val="0"/>
          <w:marRight w:val="0"/>
          <w:marTop w:val="0"/>
          <w:marBottom w:val="0"/>
          <w:divBdr>
            <w:top w:val="none" w:sz="0" w:space="0" w:color="auto"/>
            <w:left w:val="none" w:sz="0" w:space="0" w:color="auto"/>
            <w:bottom w:val="none" w:sz="0" w:space="0" w:color="auto"/>
            <w:right w:val="none" w:sz="0" w:space="0" w:color="auto"/>
          </w:divBdr>
          <w:divsChild>
            <w:div w:id="1682077811">
              <w:marLeft w:val="0"/>
              <w:marRight w:val="0"/>
              <w:marTop w:val="0"/>
              <w:marBottom w:val="0"/>
              <w:divBdr>
                <w:top w:val="none" w:sz="0" w:space="0" w:color="auto"/>
                <w:left w:val="none" w:sz="0" w:space="0" w:color="auto"/>
                <w:bottom w:val="none" w:sz="0" w:space="0" w:color="auto"/>
                <w:right w:val="none" w:sz="0" w:space="0" w:color="auto"/>
              </w:divBdr>
              <w:divsChild>
                <w:div w:id="1927223831">
                  <w:marLeft w:val="0"/>
                  <w:marRight w:val="0"/>
                  <w:marTop w:val="0"/>
                  <w:marBottom w:val="0"/>
                  <w:divBdr>
                    <w:top w:val="none" w:sz="0" w:space="0" w:color="auto"/>
                    <w:left w:val="none" w:sz="0" w:space="0" w:color="auto"/>
                    <w:bottom w:val="single" w:sz="6" w:space="0" w:color="DDDDDD"/>
                    <w:right w:val="none" w:sz="0" w:space="0" w:color="auto"/>
                  </w:divBdr>
                  <w:divsChild>
                    <w:div w:id="1455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87641">
      <w:bodyDiv w:val="1"/>
      <w:marLeft w:val="0"/>
      <w:marRight w:val="0"/>
      <w:marTop w:val="0"/>
      <w:marBottom w:val="0"/>
      <w:divBdr>
        <w:top w:val="none" w:sz="0" w:space="0" w:color="auto"/>
        <w:left w:val="none" w:sz="0" w:space="0" w:color="auto"/>
        <w:bottom w:val="none" w:sz="0" w:space="0" w:color="auto"/>
        <w:right w:val="none" w:sz="0" w:space="0" w:color="auto"/>
      </w:divBdr>
      <w:divsChild>
        <w:div w:id="1947690903">
          <w:marLeft w:val="0"/>
          <w:marRight w:val="0"/>
          <w:marTop w:val="0"/>
          <w:marBottom w:val="0"/>
          <w:divBdr>
            <w:top w:val="none" w:sz="0" w:space="0" w:color="auto"/>
            <w:left w:val="none" w:sz="0" w:space="0" w:color="auto"/>
            <w:bottom w:val="none" w:sz="0" w:space="0" w:color="auto"/>
            <w:right w:val="none" w:sz="0" w:space="0" w:color="auto"/>
          </w:divBdr>
          <w:divsChild>
            <w:div w:id="1575969391">
              <w:marLeft w:val="0"/>
              <w:marRight w:val="0"/>
              <w:marTop w:val="0"/>
              <w:marBottom w:val="0"/>
              <w:divBdr>
                <w:top w:val="none" w:sz="0" w:space="0" w:color="auto"/>
                <w:left w:val="none" w:sz="0" w:space="0" w:color="auto"/>
                <w:bottom w:val="none" w:sz="0" w:space="0" w:color="auto"/>
                <w:right w:val="none" w:sz="0" w:space="0" w:color="auto"/>
              </w:divBdr>
              <w:divsChild>
                <w:div w:id="1360202548">
                  <w:marLeft w:val="0"/>
                  <w:marRight w:val="0"/>
                  <w:marTop w:val="0"/>
                  <w:marBottom w:val="0"/>
                  <w:divBdr>
                    <w:top w:val="none" w:sz="0" w:space="0" w:color="auto"/>
                    <w:left w:val="none" w:sz="0" w:space="0" w:color="auto"/>
                    <w:bottom w:val="none" w:sz="0" w:space="0" w:color="auto"/>
                    <w:right w:val="none" w:sz="0" w:space="0" w:color="auto"/>
                  </w:divBdr>
                  <w:divsChild>
                    <w:div w:id="1341543609">
                      <w:marLeft w:val="0"/>
                      <w:marRight w:val="0"/>
                      <w:marTop w:val="0"/>
                      <w:marBottom w:val="0"/>
                      <w:divBdr>
                        <w:top w:val="none" w:sz="0" w:space="0" w:color="auto"/>
                        <w:left w:val="none" w:sz="0" w:space="0" w:color="auto"/>
                        <w:bottom w:val="none" w:sz="0" w:space="0" w:color="auto"/>
                        <w:right w:val="none" w:sz="0" w:space="0" w:color="auto"/>
                      </w:divBdr>
                      <w:divsChild>
                        <w:div w:id="536478148">
                          <w:marLeft w:val="0"/>
                          <w:marRight w:val="0"/>
                          <w:marTop w:val="0"/>
                          <w:marBottom w:val="0"/>
                          <w:divBdr>
                            <w:top w:val="none" w:sz="0" w:space="0" w:color="auto"/>
                            <w:left w:val="none" w:sz="0" w:space="0" w:color="auto"/>
                            <w:bottom w:val="none" w:sz="0" w:space="0" w:color="auto"/>
                            <w:right w:val="none" w:sz="0" w:space="0" w:color="auto"/>
                          </w:divBdr>
                          <w:divsChild>
                            <w:div w:id="12190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339144">
      <w:bodyDiv w:val="1"/>
      <w:marLeft w:val="0"/>
      <w:marRight w:val="0"/>
      <w:marTop w:val="0"/>
      <w:marBottom w:val="0"/>
      <w:divBdr>
        <w:top w:val="none" w:sz="0" w:space="0" w:color="auto"/>
        <w:left w:val="none" w:sz="0" w:space="0" w:color="auto"/>
        <w:bottom w:val="none" w:sz="0" w:space="0" w:color="auto"/>
        <w:right w:val="none" w:sz="0" w:space="0" w:color="auto"/>
      </w:divBdr>
      <w:divsChild>
        <w:div w:id="2118670867">
          <w:marLeft w:val="0"/>
          <w:marRight w:val="0"/>
          <w:marTop w:val="0"/>
          <w:marBottom w:val="0"/>
          <w:divBdr>
            <w:top w:val="none" w:sz="0" w:space="0" w:color="auto"/>
            <w:left w:val="none" w:sz="0" w:space="0" w:color="auto"/>
            <w:bottom w:val="none" w:sz="0" w:space="0" w:color="auto"/>
            <w:right w:val="none" w:sz="0" w:space="0" w:color="auto"/>
          </w:divBdr>
          <w:divsChild>
            <w:div w:id="1428960580">
              <w:marLeft w:val="0"/>
              <w:marRight w:val="0"/>
              <w:marTop w:val="0"/>
              <w:marBottom w:val="0"/>
              <w:divBdr>
                <w:top w:val="none" w:sz="0" w:space="0" w:color="auto"/>
                <w:left w:val="none" w:sz="0" w:space="0" w:color="auto"/>
                <w:bottom w:val="none" w:sz="0" w:space="0" w:color="auto"/>
                <w:right w:val="none" w:sz="0" w:space="0" w:color="auto"/>
              </w:divBdr>
              <w:divsChild>
                <w:div w:id="986130370">
                  <w:marLeft w:val="0"/>
                  <w:marRight w:val="0"/>
                  <w:marTop w:val="0"/>
                  <w:marBottom w:val="0"/>
                  <w:divBdr>
                    <w:top w:val="none" w:sz="0" w:space="0" w:color="auto"/>
                    <w:left w:val="none" w:sz="0" w:space="0" w:color="auto"/>
                    <w:bottom w:val="none" w:sz="0" w:space="0" w:color="auto"/>
                    <w:right w:val="none" w:sz="0" w:space="0" w:color="auto"/>
                  </w:divBdr>
                  <w:divsChild>
                    <w:div w:id="466361731">
                      <w:marLeft w:val="0"/>
                      <w:marRight w:val="0"/>
                      <w:marTop w:val="0"/>
                      <w:marBottom w:val="0"/>
                      <w:divBdr>
                        <w:top w:val="none" w:sz="0" w:space="0" w:color="auto"/>
                        <w:left w:val="none" w:sz="0" w:space="0" w:color="auto"/>
                        <w:bottom w:val="none" w:sz="0" w:space="0" w:color="auto"/>
                        <w:right w:val="none" w:sz="0" w:space="0" w:color="auto"/>
                      </w:divBdr>
                      <w:divsChild>
                        <w:div w:id="489443277">
                          <w:marLeft w:val="0"/>
                          <w:marRight w:val="0"/>
                          <w:marTop w:val="0"/>
                          <w:marBottom w:val="0"/>
                          <w:divBdr>
                            <w:top w:val="none" w:sz="0" w:space="0" w:color="auto"/>
                            <w:left w:val="none" w:sz="0" w:space="0" w:color="auto"/>
                            <w:bottom w:val="none" w:sz="0" w:space="0" w:color="auto"/>
                            <w:right w:val="none" w:sz="0" w:space="0" w:color="auto"/>
                          </w:divBdr>
                          <w:divsChild>
                            <w:div w:id="16207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2465">
      <w:bodyDiv w:val="1"/>
      <w:marLeft w:val="0"/>
      <w:marRight w:val="0"/>
      <w:marTop w:val="0"/>
      <w:marBottom w:val="0"/>
      <w:divBdr>
        <w:top w:val="none" w:sz="0" w:space="0" w:color="auto"/>
        <w:left w:val="none" w:sz="0" w:space="0" w:color="auto"/>
        <w:bottom w:val="none" w:sz="0" w:space="0" w:color="auto"/>
        <w:right w:val="none" w:sz="0" w:space="0" w:color="auto"/>
      </w:divBdr>
      <w:divsChild>
        <w:div w:id="372770240">
          <w:marLeft w:val="0"/>
          <w:marRight w:val="0"/>
          <w:marTop w:val="0"/>
          <w:marBottom w:val="0"/>
          <w:divBdr>
            <w:top w:val="none" w:sz="0" w:space="0" w:color="auto"/>
            <w:left w:val="none" w:sz="0" w:space="0" w:color="auto"/>
            <w:bottom w:val="none" w:sz="0" w:space="0" w:color="auto"/>
            <w:right w:val="none" w:sz="0" w:space="0" w:color="auto"/>
          </w:divBdr>
          <w:divsChild>
            <w:div w:id="1867671476">
              <w:marLeft w:val="0"/>
              <w:marRight w:val="0"/>
              <w:marTop w:val="0"/>
              <w:marBottom w:val="0"/>
              <w:divBdr>
                <w:top w:val="none" w:sz="0" w:space="0" w:color="auto"/>
                <w:left w:val="none" w:sz="0" w:space="0" w:color="auto"/>
                <w:bottom w:val="none" w:sz="0" w:space="0" w:color="auto"/>
                <w:right w:val="none" w:sz="0" w:space="0" w:color="auto"/>
              </w:divBdr>
              <w:divsChild>
                <w:div w:id="799497999">
                  <w:marLeft w:val="0"/>
                  <w:marRight w:val="0"/>
                  <w:marTop w:val="0"/>
                  <w:marBottom w:val="0"/>
                  <w:divBdr>
                    <w:top w:val="none" w:sz="0" w:space="0" w:color="auto"/>
                    <w:left w:val="none" w:sz="0" w:space="0" w:color="auto"/>
                    <w:bottom w:val="none" w:sz="0" w:space="0" w:color="auto"/>
                    <w:right w:val="none" w:sz="0" w:space="0" w:color="auto"/>
                  </w:divBdr>
                  <w:divsChild>
                    <w:div w:id="835075044">
                      <w:marLeft w:val="0"/>
                      <w:marRight w:val="0"/>
                      <w:marTop w:val="0"/>
                      <w:marBottom w:val="0"/>
                      <w:divBdr>
                        <w:top w:val="none" w:sz="0" w:space="0" w:color="auto"/>
                        <w:left w:val="none" w:sz="0" w:space="0" w:color="auto"/>
                        <w:bottom w:val="none" w:sz="0" w:space="0" w:color="auto"/>
                        <w:right w:val="none" w:sz="0" w:space="0" w:color="auto"/>
                      </w:divBdr>
                      <w:divsChild>
                        <w:div w:id="1926525000">
                          <w:marLeft w:val="0"/>
                          <w:marRight w:val="0"/>
                          <w:marTop w:val="0"/>
                          <w:marBottom w:val="0"/>
                          <w:divBdr>
                            <w:top w:val="none" w:sz="0" w:space="0" w:color="auto"/>
                            <w:left w:val="none" w:sz="0" w:space="0" w:color="auto"/>
                            <w:bottom w:val="none" w:sz="0" w:space="0" w:color="auto"/>
                            <w:right w:val="none" w:sz="0" w:space="0" w:color="auto"/>
                          </w:divBdr>
                          <w:divsChild>
                            <w:div w:id="1371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74888">
      <w:bodyDiv w:val="1"/>
      <w:marLeft w:val="0"/>
      <w:marRight w:val="0"/>
      <w:marTop w:val="0"/>
      <w:marBottom w:val="0"/>
      <w:divBdr>
        <w:top w:val="none" w:sz="0" w:space="0" w:color="auto"/>
        <w:left w:val="none" w:sz="0" w:space="0" w:color="auto"/>
        <w:bottom w:val="none" w:sz="0" w:space="0" w:color="auto"/>
        <w:right w:val="none" w:sz="0" w:space="0" w:color="auto"/>
      </w:divBdr>
      <w:divsChild>
        <w:div w:id="1959723790">
          <w:marLeft w:val="0"/>
          <w:marRight w:val="0"/>
          <w:marTop w:val="0"/>
          <w:marBottom w:val="0"/>
          <w:divBdr>
            <w:top w:val="none" w:sz="0" w:space="0" w:color="auto"/>
            <w:left w:val="none" w:sz="0" w:space="0" w:color="auto"/>
            <w:bottom w:val="none" w:sz="0" w:space="0" w:color="auto"/>
            <w:right w:val="none" w:sz="0" w:space="0" w:color="auto"/>
          </w:divBdr>
          <w:divsChild>
            <w:div w:id="836190115">
              <w:marLeft w:val="0"/>
              <w:marRight w:val="0"/>
              <w:marTop w:val="0"/>
              <w:marBottom w:val="0"/>
              <w:divBdr>
                <w:top w:val="none" w:sz="0" w:space="0" w:color="auto"/>
                <w:left w:val="none" w:sz="0" w:space="0" w:color="auto"/>
                <w:bottom w:val="none" w:sz="0" w:space="0" w:color="auto"/>
                <w:right w:val="none" w:sz="0" w:space="0" w:color="auto"/>
              </w:divBdr>
              <w:divsChild>
                <w:div w:id="494104218">
                  <w:marLeft w:val="0"/>
                  <w:marRight w:val="0"/>
                  <w:marTop w:val="0"/>
                  <w:marBottom w:val="0"/>
                  <w:divBdr>
                    <w:top w:val="none" w:sz="0" w:space="0" w:color="auto"/>
                    <w:left w:val="none" w:sz="0" w:space="0" w:color="auto"/>
                    <w:bottom w:val="none" w:sz="0" w:space="0" w:color="auto"/>
                    <w:right w:val="none" w:sz="0" w:space="0" w:color="auto"/>
                  </w:divBdr>
                  <w:divsChild>
                    <w:div w:id="847213567">
                      <w:marLeft w:val="0"/>
                      <w:marRight w:val="0"/>
                      <w:marTop w:val="0"/>
                      <w:marBottom w:val="0"/>
                      <w:divBdr>
                        <w:top w:val="none" w:sz="0" w:space="0" w:color="auto"/>
                        <w:left w:val="none" w:sz="0" w:space="0" w:color="auto"/>
                        <w:bottom w:val="none" w:sz="0" w:space="0" w:color="auto"/>
                        <w:right w:val="none" w:sz="0" w:space="0" w:color="auto"/>
                      </w:divBdr>
                      <w:divsChild>
                        <w:div w:id="880677260">
                          <w:marLeft w:val="0"/>
                          <w:marRight w:val="0"/>
                          <w:marTop w:val="0"/>
                          <w:marBottom w:val="0"/>
                          <w:divBdr>
                            <w:top w:val="none" w:sz="0" w:space="0" w:color="auto"/>
                            <w:left w:val="none" w:sz="0" w:space="0" w:color="auto"/>
                            <w:bottom w:val="none" w:sz="0" w:space="0" w:color="auto"/>
                            <w:right w:val="none" w:sz="0" w:space="0" w:color="auto"/>
                          </w:divBdr>
                          <w:divsChild>
                            <w:div w:id="1387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514993">
      <w:bodyDiv w:val="1"/>
      <w:marLeft w:val="0"/>
      <w:marRight w:val="0"/>
      <w:marTop w:val="0"/>
      <w:marBottom w:val="0"/>
      <w:divBdr>
        <w:top w:val="none" w:sz="0" w:space="0" w:color="auto"/>
        <w:left w:val="none" w:sz="0" w:space="0" w:color="auto"/>
        <w:bottom w:val="none" w:sz="0" w:space="0" w:color="auto"/>
        <w:right w:val="none" w:sz="0" w:space="0" w:color="auto"/>
      </w:divBdr>
      <w:divsChild>
        <w:div w:id="2052877310">
          <w:marLeft w:val="0"/>
          <w:marRight w:val="0"/>
          <w:marTop w:val="0"/>
          <w:marBottom w:val="0"/>
          <w:divBdr>
            <w:top w:val="none" w:sz="0" w:space="0" w:color="auto"/>
            <w:left w:val="none" w:sz="0" w:space="0" w:color="auto"/>
            <w:bottom w:val="none" w:sz="0" w:space="0" w:color="auto"/>
            <w:right w:val="none" w:sz="0" w:space="0" w:color="auto"/>
          </w:divBdr>
          <w:divsChild>
            <w:div w:id="250313600">
              <w:marLeft w:val="0"/>
              <w:marRight w:val="0"/>
              <w:marTop w:val="0"/>
              <w:marBottom w:val="0"/>
              <w:divBdr>
                <w:top w:val="none" w:sz="0" w:space="0" w:color="auto"/>
                <w:left w:val="none" w:sz="0" w:space="0" w:color="auto"/>
                <w:bottom w:val="none" w:sz="0" w:space="0" w:color="auto"/>
                <w:right w:val="none" w:sz="0" w:space="0" w:color="auto"/>
              </w:divBdr>
              <w:divsChild>
                <w:div w:id="1031609586">
                  <w:marLeft w:val="0"/>
                  <w:marRight w:val="0"/>
                  <w:marTop w:val="0"/>
                  <w:marBottom w:val="0"/>
                  <w:divBdr>
                    <w:top w:val="none" w:sz="0" w:space="0" w:color="auto"/>
                    <w:left w:val="none" w:sz="0" w:space="0" w:color="auto"/>
                    <w:bottom w:val="none" w:sz="0" w:space="0" w:color="auto"/>
                    <w:right w:val="none" w:sz="0" w:space="0" w:color="auto"/>
                  </w:divBdr>
                  <w:divsChild>
                    <w:div w:id="1943419219">
                      <w:marLeft w:val="0"/>
                      <w:marRight w:val="0"/>
                      <w:marTop w:val="0"/>
                      <w:marBottom w:val="0"/>
                      <w:divBdr>
                        <w:top w:val="none" w:sz="0" w:space="0" w:color="auto"/>
                        <w:left w:val="none" w:sz="0" w:space="0" w:color="auto"/>
                        <w:bottom w:val="none" w:sz="0" w:space="0" w:color="auto"/>
                        <w:right w:val="none" w:sz="0" w:space="0" w:color="auto"/>
                      </w:divBdr>
                      <w:divsChild>
                        <w:div w:id="331226537">
                          <w:marLeft w:val="0"/>
                          <w:marRight w:val="0"/>
                          <w:marTop w:val="0"/>
                          <w:marBottom w:val="0"/>
                          <w:divBdr>
                            <w:top w:val="none" w:sz="0" w:space="0" w:color="auto"/>
                            <w:left w:val="none" w:sz="0" w:space="0" w:color="auto"/>
                            <w:bottom w:val="none" w:sz="0" w:space="0" w:color="auto"/>
                            <w:right w:val="none" w:sz="0" w:space="0" w:color="auto"/>
                          </w:divBdr>
                          <w:divsChild>
                            <w:div w:id="12679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461813">
      <w:bodyDiv w:val="1"/>
      <w:marLeft w:val="0"/>
      <w:marRight w:val="0"/>
      <w:marTop w:val="0"/>
      <w:marBottom w:val="0"/>
      <w:divBdr>
        <w:top w:val="none" w:sz="0" w:space="0" w:color="auto"/>
        <w:left w:val="none" w:sz="0" w:space="0" w:color="auto"/>
        <w:bottom w:val="none" w:sz="0" w:space="0" w:color="auto"/>
        <w:right w:val="none" w:sz="0" w:space="0" w:color="auto"/>
      </w:divBdr>
      <w:divsChild>
        <w:div w:id="1142503562">
          <w:marLeft w:val="0"/>
          <w:marRight w:val="0"/>
          <w:marTop w:val="0"/>
          <w:marBottom w:val="0"/>
          <w:divBdr>
            <w:top w:val="none" w:sz="0" w:space="0" w:color="auto"/>
            <w:left w:val="none" w:sz="0" w:space="0" w:color="auto"/>
            <w:bottom w:val="none" w:sz="0" w:space="0" w:color="auto"/>
            <w:right w:val="none" w:sz="0" w:space="0" w:color="auto"/>
          </w:divBdr>
          <w:divsChild>
            <w:div w:id="1429547563">
              <w:marLeft w:val="0"/>
              <w:marRight w:val="0"/>
              <w:marTop w:val="0"/>
              <w:marBottom w:val="0"/>
              <w:divBdr>
                <w:top w:val="none" w:sz="0" w:space="0" w:color="auto"/>
                <w:left w:val="none" w:sz="0" w:space="0" w:color="auto"/>
                <w:bottom w:val="none" w:sz="0" w:space="0" w:color="auto"/>
                <w:right w:val="none" w:sz="0" w:space="0" w:color="auto"/>
              </w:divBdr>
              <w:divsChild>
                <w:div w:id="1160466303">
                  <w:marLeft w:val="0"/>
                  <w:marRight w:val="0"/>
                  <w:marTop w:val="0"/>
                  <w:marBottom w:val="0"/>
                  <w:divBdr>
                    <w:top w:val="none" w:sz="0" w:space="0" w:color="auto"/>
                    <w:left w:val="none" w:sz="0" w:space="0" w:color="auto"/>
                    <w:bottom w:val="none" w:sz="0" w:space="0" w:color="auto"/>
                    <w:right w:val="none" w:sz="0" w:space="0" w:color="auto"/>
                  </w:divBdr>
                  <w:divsChild>
                    <w:div w:id="1761825519">
                      <w:marLeft w:val="0"/>
                      <w:marRight w:val="0"/>
                      <w:marTop w:val="0"/>
                      <w:marBottom w:val="0"/>
                      <w:divBdr>
                        <w:top w:val="none" w:sz="0" w:space="0" w:color="auto"/>
                        <w:left w:val="none" w:sz="0" w:space="0" w:color="auto"/>
                        <w:bottom w:val="none" w:sz="0" w:space="0" w:color="auto"/>
                        <w:right w:val="none" w:sz="0" w:space="0" w:color="auto"/>
                      </w:divBdr>
                      <w:divsChild>
                        <w:div w:id="996542370">
                          <w:marLeft w:val="0"/>
                          <w:marRight w:val="0"/>
                          <w:marTop w:val="0"/>
                          <w:marBottom w:val="0"/>
                          <w:divBdr>
                            <w:top w:val="none" w:sz="0" w:space="0" w:color="auto"/>
                            <w:left w:val="none" w:sz="0" w:space="0" w:color="auto"/>
                            <w:bottom w:val="none" w:sz="0" w:space="0" w:color="auto"/>
                            <w:right w:val="none" w:sz="0" w:space="0" w:color="auto"/>
                          </w:divBdr>
                          <w:divsChild>
                            <w:div w:id="16725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4839">
      <w:bodyDiv w:val="1"/>
      <w:marLeft w:val="0"/>
      <w:marRight w:val="0"/>
      <w:marTop w:val="0"/>
      <w:marBottom w:val="0"/>
      <w:divBdr>
        <w:top w:val="none" w:sz="0" w:space="0" w:color="auto"/>
        <w:left w:val="none" w:sz="0" w:space="0" w:color="auto"/>
        <w:bottom w:val="none" w:sz="0" w:space="0" w:color="auto"/>
        <w:right w:val="none" w:sz="0" w:space="0" w:color="auto"/>
      </w:divBdr>
      <w:divsChild>
        <w:div w:id="43721621">
          <w:marLeft w:val="0"/>
          <w:marRight w:val="0"/>
          <w:marTop w:val="0"/>
          <w:marBottom w:val="0"/>
          <w:divBdr>
            <w:top w:val="none" w:sz="0" w:space="0" w:color="auto"/>
            <w:left w:val="none" w:sz="0" w:space="0" w:color="auto"/>
            <w:bottom w:val="none" w:sz="0" w:space="0" w:color="auto"/>
            <w:right w:val="none" w:sz="0" w:space="0" w:color="auto"/>
          </w:divBdr>
          <w:divsChild>
            <w:div w:id="1283420888">
              <w:marLeft w:val="0"/>
              <w:marRight w:val="0"/>
              <w:marTop w:val="0"/>
              <w:marBottom w:val="0"/>
              <w:divBdr>
                <w:top w:val="none" w:sz="0" w:space="0" w:color="auto"/>
                <w:left w:val="none" w:sz="0" w:space="0" w:color="auto"/>
                <w:bottom w:val="none" w:sz="0" w:space="0" w:color="auto"/>
                <w:right w:val="none" w:sz="0" w:space="0" w:color="auto"/>
              </w:divBdr>
              <w:divsChild>
                <w:div w:id="427504675">
                  <w:marLeft w:val="0"/>
                  <w:marRight w:val="0"/>
                  <w:marTop w:val="0"/>
                  <w:marBottom w:val="0"/>
                  <w:divBdr>
                    <w:top w:val="none" w:sz="0" w:space="0" w:color="auto"/>
                    <w:left w:val="none" w:sz="0" w:space="0" w:color="auto"/>
                    <w:bottom w:val="none" w:sz="0" w:space="0" w:color="auto"/>
                    <w:right w:val="none" w:sz="0" w:space="0" w:color="auto"/>
                  </w:divBdr>
                  <w:divsChild>
                    <w:div w:id="1725367517">
                      <w:marLeft w:val="0"/>
                      <w:marRight w:val="0"/>
                      <w:marTop w:val="0"/>
                      <w:marBottom w:val="0"/>
                      <w:divBdr>
                        <w:top w:val="none" w:sz="0" w:space="0" w:color="auto"/>
                        <w:left w:val="none" w:sz="0" w:space="0" w:color="auto"/>
                        <w:bottom w:val="none" w:sz="0" w:space="0" w:color="auto"/>
                        <w:right w:val="none" w:sz="0" w:space="0" w:color="auto"/>
                      </w:divBdr>
                      <w:divsChild>
                        <w:div w:id="717318571">
                          <w:marLeft w:val="0"/>
                          <w:marRight w:val="0"/>
                          <w:marTop w:val="0"/>
                          <w:marBottom w:val="0"/>
                          <w:divBdr>
                            <w:top w:val="none" w:sz="0" w:space="0" w:color="auto"/>
                            <w:left w:val="none" w:sz="0" w:space="0" w:color="auto"/>
                            <w:bottom w:val="none" w:sz="0" w:space="0" w:color="auto"/>
                            <w:right w:val="none" w:sz="0" w:space="0" w:color="auto"/>
                          </w:divBdr>
                          <w:divsChild>
                            <w:div w:id="3961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599937">
      <w:bodyDiv w:val="1"/>
      <w:marLeft w:val="0"/>
      <w:marRight w:val="0"/>
      <w:marTop w:val="0"/>
      <w:marBottom w:val="0"/>
      <w:divBdr>
        <w:top w:val="none" w:sz="0" w:space="0" w:color="auto"/>
        <w:left w:val="none" w:sz="0" w:space="0" w:color="auto"/>
        <w:bottom w:val="none" w:sz="0" w:space="0" w:color="auto"/>
        <w:right w:val="none" w:sz="0" w:space="0" w:color="auto"/>
      </w:divBdr>
      <w:divsChild>
        <w:div w:id="1600866527">
          <w:marLeft w:val="0"/>
          <w:marRight w:val="0"/>
          <w:marTop w:val="0"/>
          <w:marBottom w:val="0"/>
          <w:divBdr>
            <w:top w:val="none" w:sz="0" w:space="0" w:color="auto"/>
            <w:left w:val="none" w:sz="0" w:space="0" w:color="auto"/>
            <w:bottom w:val="none" w:sz="0" w:space="0" w:color="auto"/>
            <w:right w:val="none" w:sz="0" w:space="0" w:color="auto"/>
          </w:divBdr>
          <w:divsChild>
            <w:div w:id="1851480953">
              <w:marLeft w:val="0"/>
              <w:marRight w:val="0"/>
              <w:marTop w:val="0"/>
              <w:marBottom w:val="0"/>
              <w:divBdr>
                <w:top w:val="none" w:sz="0" w:space="0" w:color="auto"/>
                <w:left w:val="none" w:sz="0" w:space="0" w:color="auto"/>
                <w:bottom w:val="none" w:sz="0" w:space="0" w:color="auto"/>
                <w:right w:val="none" w:sz="0" w:space="0" w:color="auto"/>
              </w:divBdr>
              <w:divsChild>
                <w:div w:id="2099015747">
                  <w:marLeft w:val="0"/>
                  <w:marRight w:val="0"/>
                  <w:marTop w:val="0"/>
                  <w:marBottom w:val="0"/>
                  <w:divBdr>
                    <w:top w:val="none" w:sz="0" w:space="0" w:color="auto"/>
                    <w:left w:val="none" w:sz="0" w:space="0" w:color="auto"/>
                    <w:bottom w:val="none" w:sz="0" w:space="0" w:color="auto"/>
                    <w:right w:val="none" w:sz="0" w:space="0" w:color="auto"/>
                  </w:divBdr>
                  <w:divsChild>
                    <w:div w:id="1320377977">
                      <w:marLeft w:val="0"/>
                      <w:marRight w:val="0"/>
                      <w:marTop w:val="0"/>
                      <w:marBottom w:val="0"/>
                      <w:divBdr>
                        <w:top w:val="none" w:sz="0" w:space="0" w:color="auto"/>
                        <w:left w:val="none" w:sz="0" w:space="0" w:color="auto"/>
                        <w:bottom w:val="none" w:sz="0" w:space="0" w:color="auto"/>
                        <w:right w:val="none" w:sz="0" w:space="0" w:color="auto"/>
                      </w:divBdr>
                      <w:divsChild>
                        <w:div w:id="1742478990">
                          <w:marLeft w:val="0"/>
                          <w:marRight w:val="0"/>
                          <w:marTop w:val="0"/>
                          <w:marBottom w:val="0"/>
                          <w:divBdr>
                            <w:top w:val="none" w:sz="0" w:space="0" w:color="auto"/>
                            <w:left w:val="none" w:sz="0" w:space="0" w:color="auto"/>
                            <w:bottom w:val="none" w:sz="0" w:space="0" w:color="auto"/>
                            <w:right w:val="none" w:sz="0" w:space="0" w:color="auto"/>
                          </w:divBdr>
                          <w:divsChild>
                            <w:div w:id="6230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689134">
      <w:bodyDiv w:val="1"/>
      <w:marLeft w:val="0"/>
      <w:marRight w:val="0"/>
      <w:marTop w:val="0"/>
      <w:marBottom w:val="0"/>
      <w:divBdr>
        <w:top w:val="none" w:sz="0" w:space="0" w:color="auto"/>
        <w:left w:val="none" w:sz="0" w:space="0" w:color="auto"/>
        <w:bottom w:val="none" w:sz="0" w:space="0" w:color="auto"/>
        <w:right w:val="none" w:sz="0" w:space="0" w:color="auto"/>
      </w:divBdr>
      <w:divsChild>
        <w:div w:id="1675961748">
          <w:marLeft w:val="0"/>
          <w:marRight w:val="0"/>
          <w:marTop w:val="0"/>
          <w:marBottom w:val="0"/>
          <w:divBdr>
            <w:top w:val="none" w:sz="0" w:space="0" w:color="auto"/>
            <w:left w:val="none" w:sz="0" w:space="0" w:color="auto"/>
            <w:bottom w:val="none" w:sz="0" w:space="0" w:color="auto"/>
            <w:right w:val="none" w:sz="0" w:space="0" w:color="auto"/>
          </w:divBdr>
          <w:divsChild>
            <w:div w:id="32269969">
              <w:marLeft w:val="0"/>
              <w:marRight w:val="0"/>
              <w:marTop w:val="0"/>
              <w:marBottom w:val="0"/>
              <w:divBdr>
                <w:top w:val="none" w:sz="0" w:space="0" w:color="auto"/>
                <w:left w:val="none" w:sz="0" w:space="0" w:color="auto"/>
                <w:bottom w:val="none" w:sz="0" w:space="0" w:color="auto"/>
                <w:right w:val="none" w:sz="0" w:space="0" w:color="auto"/>
              </w:divBdr>
              <w:divsChild>
                <w:div w:id="1289825196">
                  <w:marLeft w:val="0"/>
                  <w:marRight w:val="0"/>
                  <w:marTop w:val="0"/>
                  <w:marBottom w:val="0"/>
                  <w:divBdr>
                    <w:top w:val="none" w:sz="0" w:space="0" w:color="auto"/>
                    <w:left w:val="none" w:sz="0" w:space="0" w:color="auto"/>
                    <w:bottom w:val="none" w:sz="0" w:space="0" w:color="auto"/>
                    <w:right w:val="none" w:sz="0" w:space="0" w:color="auto"/>
                  </w:divBdr>
                  <w:divsChild>
                    <w:div w:id="1456413783">
                      <w:marLeft w:val="0"/>
                      <w:marRight w:val="0"/>
                      <w:marTop w:val="0"/>
                      <w:marBottom w:val="0"/>
                      <w:divBdr>
                        <w:top w:val="none" w:sz="0" w:space="0" w:color="auto"/>
                        <w:left w:val="none" w:sz="0" w:space="0" w:color="auto"/>
                        <w:bottom w:val="none" w:sz="0" w:space="0" w:color="auto"/>
                        <w:right w:val="none" w:sz="0" w:space="0" w:color="auto"/>
                      </w:divBdr>
                      <w:divsChild>
                        <w:div w:id="1785952660">
                          <w:marLeft w:val="0"/>
                          <w:marRight w:val="0"/>
                          <w:marTop w:val="0"/>
                          <w:marBottom w:val="0"/>
                          <w:divBdr>
                            <w:top w:val="none" w:sz="0" w:space="0" w:color="auto"/>
                            <w:left w:val="none" w:sz="0" w:space="0" w:color="auto"/>
                            <w:bottom w:val="none" w:sz="0" w:space="0" w:color="auto"/>
                            <w:right w:val="none" w:sz="0" w:space="0" w:color="auto"/>
                          </w:divBdr>
                          <w:divsChild>
                            <w:div w:id="2293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388067">
      <w:bodyDiv w:val="1"/>
      <w:marLeft w:val="0"/>
      <w:marRight w:val="0"/>
      <w:marTop w:val="0"/>
      <w:marBottom w:val="0"/>
      <w:divBdr>
        <w:top w:val="none" w:sz="0" w:space="0" w:color="auto"/>
        <w:left w:val="none" w:sz="0" w:space="0" w:color="auto"/>
        <w:bottom w:val="none" w:sz="0" w:space="0" w:color="auto"/>
        <w:right w:val="none" w:sz="0" w:space="0" w:color="auto"/>
      </w:divBdr>
    </w:div>
    <w:div w:id="1084304857">
      <w:bodyDiv w:val="1"/>
      <w:marLeft w:val="0"/>
      <w:marRight w:val="0"/>
      <w:marTop w:val="0"/>
      <w:marBottom w:val="0"/>
      <w:divBdr>
        <w:top w:val="none" w:sz="0" w:space="0" w:color="auto"/>
        <w:left w:val="none" w:sz="0" w:space="0" w:color="auto"/>
        <w:bottom w:val="none" w:sz="0" w:space="0" w:color="auto"/>
        <w:right w:val="none" w:sz="0" w:space="0" w:color="auto"/>
      </w:divBdr>
      <w:divsChild>
        <w:div w:id="954796271">
          <w:marLeft w:val="0"/>
          <w:marRight w:val="0"/>
          <w:marTop w:val="0"/>
          <w:marBottom w:val="0"/>
          <w:divBdr>
            <w:top w:val="none" w:sz="0" w:space="0" w:color="auto"/>
            <w:left w:val="none" w:sz="0" w:space="0" w:color="auto"/>
            <w:bottom w:val="none" w:sz="0" w:space="0" w:color="auto"/>
            <w:right w:val="none" w:sz="0" w:space="0" w:color="auto"/>
          </w:divBdr>
          <w:divsChild>
            <w:div w:id="286202586">
              <w:marLeft w:val="0"/>
              <w:marRight w:val="0"/>
              <w:marTop w:val="0"/>
              <w:marBottom w:val="0"/>
              <w:divBdr>
                <w:top w:val="none" w:sz="0" w:space="0" w:color="auto"/>
                <w:left w:val="none" w:sz="0" w:space="0" w:color="auto"/>
                <w:bottom w:val="none" w:sz="0" w:space="0" w:color="auto"/>
                <w:right w:val="none" w:sz="0" w:space="0" w:color="auto"/>
              </w:divBdr>
              <w:divsChild>
                <w:div w:id="1971402553">
                  <w:marLeft w:val="0"/>
                  <w:marRight w:val="0"/>
                  <w:marTop w:val="0"/>
                  <w:marBottom w:val="0"/>
                  <w:divBdr>
                    <w:top w:val="none" w:sz="0" w:space="0" w:color="auto"/>
                    <w:left w:val="none" w:sz="0" w:space="0" w:color="auto"/>
                    <w:bottom w:val="none" w:sz="0" w:space="0" w:color="auto"/>
                    <w:right w:val="none" w:sz="0" w:space="0" w:color="auto"/>
                  </w:divBdr>
                  <w:divsChild>
                    <w:div w:id="1940989747">
                      <w:marLeft w:val="0"/>
                      <w:marRight w:val="0"/>
                      <w:marTop w:val="0"/>
                      <w:marBottom w:val="0"/>
                      <w:divBdr>
                        <w:top w:val="none" w:sz="0" w:space="0" w:color="auto"/>
                        <w:left w:val="none" w:sz="0" w:space="0" w:color="auto"/>
                        <w:bottom w:val="none" w:sz="0" w:space="0" w:color="auto"/>
                        <w:right w:val="none" w:sz="0" w:space="0" w:color="auto"/>
                      </w:divBdr>
                      <w:divsChild>
                        <w:div w:id="180053806">
                          <w:marLeft w:val="0"/>
                          <w:marRight w:val="0"/>
                          <w:marTop w:val="0"/>
                          <w:marBottom w:val="0"/>
                          <w:divBdr>
                            <w:top w:val="none" w:sz="0" w:space="0" w:color="auto"/>
                            <w:left w:val="none" w:sz="0" w:space="0" w:color="auto"/>
                            <w:bottom w:val="none" w:sz="0" w:space="0" w:color="auto"/>
                            <w:right w:val="none" w:sz="0" w:space="0" w:color="auto"/>
                          </w:divBdr>
                          <w:divsChild>
                            <w:div w:id="5094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288488">
      <w:bodyDiv w:val="1"/>
      <w:marLeft w:val="0"/>
      <w:marRight w:val="0"/>
      <w:marTop w:val="0"/>
      <w:marBottom w:val="0"/>
      <w:divBdr>
        <w:top w:val="none" w:sz="0" w:space="0" w:color="auto"/>
        <w:left w:val="none" w:sz="0" w:space="0" w:color="auto"/>
        <w:bottom w:val="none" w:sz="0" w:space="0" w:color="auto"/>
        <w:right w:val="none" w:sz="0" w:space="0" w:color="auto"/>
      </w:divBdr>
    </w:div>
    <w:div w:id="1335182713">
      <w:bodyDiv w:val="1"/>
      <w:marLeft w:val="0"/>
      <w:marRight w:val="0"/>
      <w:marTop w:val="0"/>
      <w:marBottom w:val="0"/>
      <w:divBdr>
        <w:top w:val="none" w:sz="0" w:space="0" w:color="auto"/>
        <w:left w:val="none" w:sz="0" w:space="0" w:color="auto"/>
        <w:bottom w:val="none" w:sz="0" w:space="0" w:color="auto"/>
        <w:right w:val="none" w:sz="0" w:space="0" w:color="auto"/>
      </w:divBdr>
      <w:divsChild>
        <w:div w:id="516701077">
          <w:marLeft w:val="0"/>
          <w:marRight w:val="0"/>
          <w:marTop w:val="0"/>
          <w:marBottom w:val="0"/>
          <w:divBdr>
            <w:top w:val="none" w:sz="0" w:space="0" w:color="auto"/>
            <w:left w:val="none" w:sz="0" w:space="0" w:color="auto"/>
            <w:bottom w:val="none" w:sz="0" w:space="0" w:color="auto"/>
            <w:right w:val="none" w:sz="0" w:space="0" w:color="auto"/>
          </w:divBdr>
          <w:divsChild>
            <w:div w:id="437795525">
              <w:marLeft w:val="0"/>
              <w:marRight w:val="0"/>
              <w:marTop w:val="0"/>
              <w:marBottom w:val="0"/>
              <w:divBdr>
                <w:top w:val="none" w:sz="0" w:space="0" w:color="auto"/>
                <w:left w:val="none" w:sz="0" w:space="0" w:color="auto"/>
                <w:bottom w:val="none" w:sz="0" w:space="0" w:color="auto"/>
                <w:right w:val="none" w:sz="0" w:space="0" w:color="auto"/>
              </w:divBdr>
              <w:divsChild>
                <w:div w:id="239563137">
                  <w:marLeft w:val="0"/>
                  <w:marRight w:val="0"/>
                  <w:marTop w:val="0"/>
                  <w:marBottom w:val="0"/>
                  <w:divBdr>
                    <w:top w:val="none" w:sz="0" w:space="0" w:color="auto"/>
                    <w:left w:val="none" w:sz="0" w:space="0" w:color="auto"/>
                    <w:bottom w:val="none" w:sz="0" w:space="0" w:color="auto"/>
                    <w:right w:val="none" w:sz="0" w:space="0" w:color="auto"/>
                  </w:divBdr>
                  <w:divsChild>
                    <w:div w:id="1367097692">
                      <w:marLeft w:val="0"/>
                      <w:marRight w:val="0"/>
                      <w:marTop w:val="0"/>
                      <w:marBottom w:val="0"/>
                      <w:divBdr>
                        <w:top w:val="none" w:sz="0" w:space="0" w:color="auto"/>
                        <w:left w:val="none" w:sz="0" w:space="0" w:color="auto"/>
                        <w:bottom w:val="none" w:sz="0" w:space="0" w:color="auto"/>
                        <w:right w:val="none" w:sz="0" w:space="0" w:color="auto"/>
                      </w:divBdr>
                      <w:divsChild>
                        <w:div w:id="1149634996">
                          <w:marLeft w:val="0"/>
                          <w:marRight w:val="0"/>
                          <w:marTop w:val="0"/>
                          <w:marBottom w:val="0"/>
                          <w:divBdr>
                            <w:top w:val="none" w:sz="0" w:space="0" w:color="auto"/>
                            <w:left w:val="none" w:sz="0" w:space="0" w:color="auto"/>
                            <w:bottom w:val="none" w:sz="0" w:space="0" w:color="auto"/>
                            <w:right w:val="none" w:sz="0" w:space="0" w:color="auto"/>
                          </w:divBdr>
                          <w:divsChild>
                            <w:div w:id="19064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701447">
      <w:bodyDiv w:val="1"/>
      <w:marLeft w:val="0"/>
      <w:marRight w:val="0"/>
      <w:marTop w:val="0"/>
      <w:marBottom w:val="0"/>
      <w:divBdr>
        <w:top w:val="none" w:sz="0" w:space="0" w:color="auto"/>
        <w:left w:val="none" w:sz="0" w:space="0" w:color="auto"/>
        <w:bottom w:val="none" w:sz="0" w:space="0" w:color="auto"/>
        <w:right w:val="none" w:sz="0" w:space="0" w:color="auto"/>
      </w:divBdr>
      <w:divsChild>
        <w:div w:id="1634367755">
          <w:marLeft w:val="0"/>
          <w:marRight w:val="0"/>
          <w:marTop w:val="0"/>
          <w:marBottom w:val="0"/>
          <w:divBdr>
            <w:top w:val="none" w:sz="0" w:space="0" w:color="auto"/>
            <w:left w:val="none" w:sz="0" w:space="0" w:color="auto"/>
            <w:bottom w:val="none" w:sz="0" w:space="0" w:color="auto"/>
            <w:right w:val="none" w:sz="0" w:space="0" w:color="auto"/>
          </w:divBdr>
          <w:divsChild>
            <w:div w:id="1587179997">
              <w:marLeft w:val="0"/>
              <w:marRight w:val="0"/>
              <w:marTop w:val="0"/>
              <w:marBottom w:val="0"/>
              <w:divBdr>
                <w:top w:val="none" w:sz="0" w:space="0" w:color="auto"/>
                <w:left w:val="none" w:sz="0" w:space="0" w:color="auto"/>
                <w:bottom w:val="none" w:sz="0" w:space="0" w:color="auto"/>
                <w:right w:val="none" w:sz="0" w:space="0" w:color="auto"/>
              </w:divBdr>
              <w:divsChild>
                <w:div w:id="1306854136">
                  <w:marLeft w:val="0"/>
                  <w:marRight w:val="0"/>
                  <w:marTop w:val="0"/>
                  <w:marBottom w:val="0"/>
                  <w:divBdr>
                    <w:top w:val="none" w:sz="0" w:space="0" w:color="auto"/>
                    <w:left w:val="none" w:sz="0" w:space="0" w:color="auto"/>
                    <w:bottom w:val="none" w:sz="0" w:space="0" w:color="auto"/>
                    <w:right w:val="none" w:sz="0" w:space="0" w:color="auto"/>
                  </w:divBdr>
                  <w:divsChild>
                    <w:div w:id="1472944613">
                      <w:marLeft w:val="0"/>
                      <w:marRight w:val="0"/>
                      <w:marTop w:val="0"/>
                      <w:marBottom w:val="0"/>
                      <w:divBdr>
                        <w:top w:val="none" w:sz="0" w:space="0" w:color="auto"/>
                        <w:left w:val="none" w:sz="0" w:space="0" w:color="auto"/>
                        <w:bottom w:val="none" w:sz="0" w:space="0" w:color="auto"/>
                        <w:right w:val="none" w:sz="0" w:space="0" w:color="auto"/>
                      </w:divBdr>
                      <w:divsChild>
                        <w:div w:id="1197043485">
                          <w:marLeft w:val="0"/>
                          <w:marRight w:val="0"/>
                          <w:marTop w:val="0"/>
                          <w:marBottom w:val="0"/>
                          <w:divBdr>
                            <w:top w:val="none" w:sz="0" w:space="0" w:color="auto"/>
                            <w:left w:val="none" w:sz="0" w:space="0" w:color="auto"/>
                            <w:bottom w:val="none" w:sz="0" w:space="0" w:color="auto"/>
                            <w:right w:val="none" w:sz="0" w:space="0" w:color="auto"/>
                          </w:divBdr>
                          <w:divsChild>
                            <w:div w:id="12533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257362">
      <w:bodyDiv w:val="1"/>
      <w:marLeft w:val="0"/>
      <w:marRight w:val="0"/>
      <w:marTop w:val="0"/>
      <w:marBottom w:val="0"/>
      <w:divBdr>
        <w:top w:val="none" w:sz="0" w:space="0" w:color="auto"/>
        <w:left w:val="none" w:sz="0" w:space="0" w:color="auto"/>
        <w:bottom w:val="none" w:sz="0" w:space="0" w:color="auto"/>
        <w:right w:val="none" w:sz="0" w:space="0" w:color="auto"/>
      </w:divBdr>
    </w:div>
    <w:div w:id="1478571023">
      <w:bodyDiv w:val="1"/>
      <w:marLeft w:val="0"/>
      <w:marRight w:val="0"/>
      <w:marTop w:val="0"/>
      <w:marBottom w:val="0"/>
      <w:divBdr>
        <w:top w:val="none" w:sz="0" w:space="0" w:color="auto"/>
        <w:left w:val="none" w:sz="0" w:space="0" w:color="auto"/>
        <w:bottom w:val="none" w:sz="0" w:space="0" w:color="auto"/>
        <w:right w:val="none" w:sz="0" w:space="0" w:color="auto"/>
      </w:divBdr>
    </w:div>
    <w:div w:id="1501315348">
      <w:bodyDiv w:val="1"/>
      <w:marLeft w:val="0"/>
      <w:marRight w:val="0"/>
      <w:marTop w:val="0"/>
      <w:marBottom w:val="0"/>
      <w:divBdr>
        <w:top w:val="none" w:sz="0" w:space="0" w:color="auto"/>
        <w:left w:val="none" w:sz="0" w:space="0" w:color="auto"/>
        <w:bottom w:val="none" w:sz="0" w:space="0" w:color="auto"/>
        <w:right w:val="none" w:sz="0" w:space="0" w:color="auto"/>
      </w:divBdr>
      <w:divsChild>
        <w:div w:id="2073037380">
          <w:marLeft w:val="0"/>
          <w:marRight w:val="0"/>
          <w:marTop w:val="0"/>
          <w:marBottom w:val="0"/>
          <w:divBdr>
            <w:top w:val="none" w:sz="0" w:space="0" w:color="auto"/>
            <w:left w:val="none" w:sz="0" w:space="0" w:color="auto"/>
            <w:bottom w:val="none" w:sz="0" w:space="0" w:color="auto"/>
            <w:right w:val="none" w:sz="0" w:space="0" w:color="auto"/>
          </w:divBdr>
          <w:divsChild>
            <w:div w:id="924190553">
              <w:marLeft w:val="0"/>
              <w:marRight w:val="0"/>
              <w:marTop w:val="0"/>
              <w:marBottom w:val="0"/>
              <w:divBdr>
                <w:top w:val="none" w:sz="0" w:space="0" w:color="auto"/>
                <w:left w:val="none" w:sz="0" w:space="0" w:color="auto"/>
                <w:bottom w:val="none" w:sz="0" w:space="0" w:color="auto"/>
                <w:right w:val="none" w:sz="0" w:space="0" w:color="auto"/>
              </w:divBdr>
              <w:divsChild>
                <w:div w:id="753475507">
                  <w:marLeft w:val="0"/>
                  <w:marRight w:val="0"/>
                  <w:marTop w:val="0"/>
                  <w:marBottom w:val="0"/>
                  <w:divBdr>
                    <w:top w:val="none" w:sz="0" w:space="0" w:color="auto"/>
                    <w:left w:val="none" w:sz="0" w:space="0" w:color="auto"/>
                    <w:bottom w:val="none" w:sz="0" w:space="0" w:color="auto"/>
                    <w:right w:val="none" w:sz="0" w:space="0" w:color="auto"/>
                  </w:divBdr>
                  <w:divsChild>
                    <w:div w:id="1160388995">
                      <w:marLeft w:val="0"/>
                      <w:marRight w:val="0"/>
                      <w:marTop w:val="0"/>
                      <w:marBottom w:val="0"/>
                      <w:divBdr>
                        <w:top w:val="none" w:sz="0" w:space="0" w:color="auto"/>
                        <w:left w:val="none" w:sz="0" w:space="0" w:color="auto"/>
                        <w:bottom w:val="none" w:sz="0" w:space="0" w:color="auto"/>
                        <w:right w:val="none" w:sz="0" w:space="0" w:color="auto"/>
                      </w:divBdr>
                      <w:divsChild>
                        <w:div w:id="137964085">
                          <w:marLeft w:val="0"/>
                          <w:marRight w:val="0"/>
                          <w:marTop w:val="0"/>
                          <w:marBottom w:val="0"/>
                          <w:divBdr>
                            <w:top w:val="none" w:sz="0" w:space="0" w:color="auto"/>
                            <w:left w:val="none" w:sz="0" w:space="0" w:color="auto"/>
                            <w:bottom w:val="none" w:sz="0" w:space="0" w:color="auto"/>
                            <w:right w:val="none" w:sz="0" w:space="0" w:color="auto"/>
                          </w:divBdr>
                          <w:divsChild>
                            <w:div w:id="5926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411016">
      <w:bodyDiv w:val="1"/>
      <w:marLeft w:val="0"/>
      <w:marRight w:val="0"/>
      <w:marTop w:val="0"/>
      <w:marBottom w:val="0"/>
      <w:divBdr>
        <w:top w:val="none" w:sz="0" w:space="0" w:color="auto"/>
        <w:left w:val="none" w:sz="0" w:space="0" w:color="auto"/>
        <w:bottom w:val="none" w:sz="0" w:space="0" w:color="auto"/>
        <w:right w:val="none" w:sz="0" w:space="0" w:color="auto"/>
      </w:divBdr>
      <w:divsChild>
        <w:div w:id="1386880041">
          <w:marLeft w:val="0"/>
          <w:marRight w:val="0"/>
          <w:marTop w:val="0"/>
          <w:marBottom w:val="0"/>
          <w:divBdr>
            <w:top w:val="none" w:sz="0" w:space="0" w:color="auto"/>
            <w:left w:val="none" w:sz="0" w:space="0" w:color="auto"/>
            <w:bottom w:val="none" w:sz="0" w:space="0" w:color="auto"/>
            <w:right w:val="none" w:sz="0" w:space="0" w:color="auto"/>
          </w:divBdr>
          <w:divsChild>
            <w:div w:id="1854222678">
              <w:marLeft w:val="0"/>
              <w:marRight w:val="0"/>
              <w:marTop w:val="0"/>
              <w:marBottom w:val="0"/>
              <w:divBdr>
                <w:top w:val="none" w:sz="0" w:space="0" w:color="auto"/>
                <w:left w:val="none" w:sz="0" w:space="0" w:color="auto"/>
                <w:bottom w:val="none" w:sz="0" w:space="0" w:color="auto"/>
                <w:right w:val="none" w:sz="0" w:space="0" w:color="auto"/>
              </w:divBdr>
              <w:divsChild>
                <w:div w:id="627661489">
                  <w:marLeft w:val="0"/>
                  <w:marRight w:val="0"/>
                  <w:marTop w:val="0"/>
                  <w:marBottom w:val="0"/>
                  <w:divBdr>
                    <w:top w:val="none" w:sz="0" w:space="0" w:color="auto"/>
                    <w:left w:val="none" w:sz="0" w:space="0" w:color="auto"/>
                    <w:bottom w:val="none" w:sz="0" w:space="0" w:color="auto"/>
                    <w:right w:val="none" w:sz="0" w:space="0" w:color="auto"/>
                  </w:divBdr>
                  <w:divsChild>
                    <w:div w:id="1043559350">
                      <w:marLeft w:val="0"/>
                      <w:marRight w:val="0"/>
                      <w:marTop w:val="0"/>
                      <w:marBottom w:val="0"/>
                      <w:divBdr>
                        <w:top w:val="none" w:sz="0" w:space="0" w:color="auto"/>
                        <w:left w:val="none" w:sz="0" w:space="0" w:color="auto"/>
                        <w:bottom w:val="none" w:sz="0" w:space="0" w:color="auto"/>
                        <w:right w:val="none" w:sz="0" w:space="0" w:color="auto"/>
                      </w:divBdr>
                      <w:divsChild>
                        <w:div w:id="1693149016">
                          <w:marLeft w:val="0"/>
                          <w:marRight w:val="0"/>
                          <w:marTop w:val="0"/>
                          <w:marBottom w:val="0"/>
                          <w:divBdr>
                            <w:top w:val="none" w:sz="0" w:space="0" w:color="auto"/>
                            <w:left w:val="none" w:sz="0" w:space="0" w:color="auto"/>
                            <w:bottom w:val="none" w:sz="0" w:space="0" w:color="auto"/>
                            <w:right w:val="none" w:sz="0" w:space="0" w:color="auto"/>
                          </w:divBdr>
                          <w:divsChild>
                            <w:div w:id="9877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375267">
      <w:bodyDiv w:val="1"/>
      <w:marLeft w:val="0"/>
      <w:marRight w:val="0"/>
      <w:marTop w:val="0"/>
      <w:marBottom w:val="0"/>
      <w:divBdr>
        <w:top w:val="none" w:sz="0" w:space="0" w:color="auto"/>
        <w:left w:val="none" w:sz="0" w:space="0" w:color="auto"/>
        <w:bottom w:val="none" w:sz="0" w:space="0" w:color="auto"/>
        <w:right w:val="none" w:sz="0" w:space="0" w:color="auto"/>
      </w:divBdr>
      <w:divsChild>
        <w:div w:id="282730177">
          <w:marLeft w:val="0"/>
          <w:marRight w:val="0"/>
          <w:marTop w:val="0"/>
          <w:marBottom w:val="0"/>
          <w:divBdr>
            <w:top w:val="none" w:sz="0" w:space="0" w:color="auto"/>
            <w:left w:val="none" w:sz="0" w:space="0" w:color="auto"/>
            <w:bottom w:val="none" w:sz="0" w:space="0" w:color="auto"/>
            <w:right w:val="none" w:sz="0" w:space="0" w:color="auto"/>
          </w:divBdr>
          <w:divsChild>
            <w:div w:id="1958443217">
              <w:marLeft w:val="0"/>
              <w:marRight w:val="0"/>
              <w:marTop w:val="0"/>
              <w:marBottom w:val="0"/>
              <w:divBdr>
                <w:top w:val="none" w:sz="0" w:space="0" w:color="auto"/>
                <w:left w:val="none" w:sz="0" w:space="0" w:color="auto"/>
                <w:bottom w:val="none" w:sz="0" w:space="0" w:color="auto"/>
                <w:right w:val="none" w:sz="0" w:space="0" w:color="auto"/>
              </w:divBdr>
              <w:divsChild>
                <w:div w:id="30232247">
                  <w:marLeft w:val="0"/>
                  <w:marRight w:val="0"/>
                  <w:marTop w:val="0"/>
                  <w:marBottom w:val="0"/>
                  <w:divBdr>
                    <w:top w:val="none" w:sz="0" w:space="0" w:color="auto"/>
                    <w:left w:val="none" w:sz="0" w:space="0" w:color="auto"/>
                    <w:bottom w:val="none" w:sz="0" w:space="0" w:color="auto"/>
                    <w:right w:val="none" w:sz="0" w:space="0" w:color="auto"/>
                  </w:divBdr>
                  <w:divsChild>
                    <w:div w:id="1191340696">
                      <w:marLeft w:val="0"/>
                      <w:marRight w:val="0"/>
                      <w:marTop w:val="0"/>
                      <w:marBottom w:val="0"/>
                      <w:divBdr>
                        <w:top w:val="none" w:sz="0" w:space="0" w:color="auto"/>
                        <w:left w:val="none" w:sz="0" w:space="0" w:color="auto"/>
                        <w:bottom w:val="none" w:sz="0" w:space="0" w:color="auto"/>
                        <w:right w:val="none" w:sz="0" w:space="0" w:color="auto"/>
                      </w:divBdr>
                      <w:divsChild>
                        <w:div w:id="525951271">
                          <w:marLeft w:val="0"/>
                          <w:marRight w:val="0"/>
                          <w:marTop w:val="0"/>
                          <w:marBottom w:val="0"/>
                          <w:divBdr>
                            <w:top w:val="none" w:sz="0" w:space="0" w:color="auto"/>
                            <w:left w:val="none" w:sz="0" w:space="0" w:color="auto"/>
                            <w:bottom w:val="none" w:sz="0" w:space="0" w:color="auto"/>
                            <w:right w:val="none" w:sz="0" w:space="0" w:color="auto"/>
                          </w:divBdr>
                          <w:divsChild>
                            <w:div w:id="1436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16077666">
      <w:bodyDiv w:val="1"/>
      <w:marLeft w:val="0"/>
      <w:marRight w:val="0"/>
      <w:marTop w:val="0"/>
      <w:marBottom w:val="0"/>
      <w:divBdr>
        <w:top w:val="none" w:sz="0" w:space="0" w:color="auto"/>
        <w:left w:val="none" w:sz="0" w:space="0" w:color="auto"/>
        <w:bottom w:val="none" w:sz="0" w:space="0" w:color="auto"/>
        <w:right w:val="none" w:sz="0" w:space="0" w:color="auto"/>
      </w:divBdr>
      <w:divsChild>
        <w:div w:id="1086003518">
          <w:marLeft w:val="0"/>
          <w:marRight w:val="0"/>
          <w:marTop w:val="0"/>
          <w:marBottom w:val="0"/>
          <w:divBdr>
            <w:top w:val="none" w:sz="0" w:space="0" w:color="auto"/>
            <w:left w:val="none" w:sz="0" w:space="0" w:color="auto"/>
            <w:bottom w:val="none" w:sz="0" w:space="0" w:color="auto"/>
            <w:right w:val="none" w:sz="0" w:space="0" w:color="auto"/>
          </w:divBdr>
          <w:divsChild>
            <w:div w:id="378013214">
              <w:marLeft w:val="0"/>
              <w:marRight w:val="0"/>
              <w:marTop w:val="0"/>
              <w:marBottom w:val="0"/>
              <w:divBdr>
                <w:top w:val="none" w:sz="0" w:space="0" w:color="auto"/>
                <w:left w:val="none" w:sz="0" w:space="0" w:color="auto"/>
                <w:bottom w:val="none" w:sz="0" w:space="0" w:color="auto"/>
                <w:right w:val="none" w:sz="0" w:space="0" w:color="auto"/>
              </w:divBdr>
              <w:divsChild>
                <w:div w:id="234558779">
                  <w:marLeft w:val="0"/>
                  <w:marRight w:val="0"/>
                  <w:marTop w:val="0"/>
                  <w:marBottom w:val="0"/>
                  <w:divBdr>
                    <w:top w:val="none" w:sz="0" w:space="0" w:color="auto"/>
                    <w:left w:val="none" w:sz="0" w:space="0" w:color="auto"/>
                    <w:bottom w:val="none" w:sz="0" w:space="0" w:color="auto"/>
                    <w:right w:val="none" w:sz="0" w:space="0" w:color="auto"/>
                  </w:divBdr>
                  <w:divsChild>
                    <w:div w:id="1663388367">
                      <w:marLeft w:val="0"/>
                      <w:marRight w:val="0"/>
                      <w:marTop w:val="0"/>
                      <w:marBottom w:val="0"/>
                      <w:divBdr>
                        <w:top w:val="none" w:sz="0" w:space="0" w:color="auto"/>
                        <w:left w:val="none" w:sz="0" w:space="0" w:color="auto"/>
                        <w:bottom w:val="none" w:sz="0" w:space="0" w:color="auto"/>
                        <w:right w:val="none" w:sz="0" w:space="0" w:color="auto"/>
                      </w:divBdr>
                      <w:divsChild>
                        <w:div w:id="733889410">
                          <w:marLeft w:val="0"/>
                          <w:marRight w:val="0"/>
                          <w:marTop w:val="0"/>
                          <w:marBottom w:val="0"/>
                          <w:divBdr>
                            <w:top w:val="none" w:sz="0" w:space="0" w:color="auto"/>
                            <w:left w:val="none" w:sz="0" w:space="0" w:color="auto"/>
                            <w:bottom w:val="none" w:sz="0" w:space="0" w:color="auto"/>
                            <w:right w:val="none" w:sz="0" w:space="0" w:color="auto"/>
                          </w:divBdr>
                          <w:divsChild>
                            <w:div w:id="3273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21789">
      <w:bodyDiv w:val="1"/>
      <w:marLeft w:val="0"/>
      <w:marRight w:val="0"/>
      <w:marTop w:val="0"/>
      <w:marBottom w:val="0"/>
      <w:divBdr>
        <w:top w:val="none" w:sz="0" w:space="0" w:color="auto"/>
        <w:left w:val="none" w:sz="0" w:space="0" w:color="auto"/>
        <w:bottom w:val="none" w:sz="0" w:space="0" w:color="auto"/>
        <w:right w:val="none" w:sz="0" w:space="0" w:color="auto"/>
      </w:divBdr>
    </w:div>
    <w:div w:id="1855998903">
      <w:bodyDiv w:val="1"/>
      <w:marLeft w:val="0"/>
      <w:marRight w:val="0"/>
      <w:marTop w:val="0"/>
      <w:marBottom w:val="0"/>
      <w:divBdr>
        <w:top w:val="none" w:sz="0" w:space="0" w:color="auto"/>
        <w:left w:val="none" w:sz="0" w:space="0" w:color="auto"/>
        <w:bottom w:val="none" w:sz="0" w:space="0" w:color="auto"/>
        <w:right w:val="none" w:sz="0" w:space="0" w:color="auto"/>
      </w:divBdr>
      <w:divsChild>
        <w:div w:id="1133057539">
          <w:marLeft w:val="0"/>
          <w:marRight w:val="0"/>
          <w:marTop w:val="0"/>
          <w:marBottom w:val="0"/>
          <w:divBdr>
            <w:top w:val="none" w:sz="0" w:space="0" w:color="auto"/>
            <w:left w:val="none" w:sz="0" w:space="0" w:color="auto"/>
            <w:bottom w:val="none" w:sz="0" w:space="0" w:color="auto"/>
            <w:right w:val="none" w:sz="0" w:space="0" w:color="auto"/>
          </w:divBdr>
          <w:divsChild>
            <w:div w:id="1349599261">
              <w:marLeft w:val="0"/>
              <w:marRight w:val="0"/>
              <w:marTop w:val="0"/>
              <w:marBottom w:val="0"/>
              <w:divBdr>
                <w:top w:val="none" w:sz="0" w:space="0" w:color="auto"/>
                <w:left w:val="none" w:sz="0" w:space="0" w:color="auto"/>
                <w:bottom w:val="none" w:sz="0" w:space="0" w:color="auto"/>
                <w:right w:val="none" w:sz="0" w:space="0" w:color="auto"/>
              </w:divBdr>
              <w:divsChild>
                <w:div w:id="623728715">
                  <w:marLeft w:val="0"/>
                  <w:marRight w:val="0"/>
                  <w:marTop w:val="0"/>
                  <w:marBottom w:val="0"/>
                  <w:divBdr>
                    <w:top w:val="none" w:sz="0" w:space="0" w:color="auto"/>
                    <w:left w:val="none" w:sz="0" w:space="0" w:color="auto"/>
                    <w:bottom w:val="none" w:sz="0" w:space="0" w:color="auto"/>
                    <w:right w:val="none" w:sz="0" w:space="0" w:color="auto"/>
                  </w:divBdr>
                  <w:divsChild>
                    <w:div w:id="1778523099">
                      <w:marLeft w:val="0"/>
                      <w:marRight w:val="0"/>
                      <w:marTop w:val="0"/>
                      <w:marBottom w:val="0"/>
                      <w:divBdr>
                        <w:top w:val="none" w:sz="0" w:space="0" w:color="auto"/>
                        <w:left w:val="none" w:sz="0" w:space="0" w:color="auto"/>
                        <w:bottom w:val="none" w:sz="0" w:space="0" w:color="auto"/>
                        <w:right w:val="none" w:sz="0" w:space="0" w:color="auto"/>
                      </w:divBdr>
                      <w:divsChild>
                        <w:div w:id="955788901">
                          <w:marLeft w:val="0"/>
                          <w:marRight w:val="0"/>
                          <w:marTop w:val="0"/>
                          <w:marBottom w:val="0"/>
                          <w:divBdr>
                            <w:top w:val="none" w:sz="0" w:space="0" w:color="auto"/>
                            <w:left w:val="none" w:sz="0" w:space="0" w:color="auto"/>
                            <w:bottom w:val="none" w:sz="0" w:space="0" w:color="auto"/>
                            <w:right w:val="none" w:sz="0" w:space="0" w:color="auto"/>
                          </w:divBdr>
                          <w:divsChild>
                            <w:div w:id="17303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732399">
      <w:bodyDiv w:val="1"/>
      <w:marLeft w:val="0"/>
      <w:marRight w:val="0"/>
      <w:marTop w:val="0"/>
      <w:marBottom w:val="0"/>
      <w:divBdr>
        <w:top w:val="none" w:sz="0" w:space="0" w:color="auto"/>
        <w:left w:val="none" w:sz="0" w:space="0" w:color="auto"/>
        <w:bottom w:val="none" w:sz="0" w:space="0" w:color="auto"/>
        <w:right w:val="none" w:sz="0" w:space="0" w:color="auto"/>
      </w:divBdr>
      <w:divsChild>
        <w:div w:id="371809696">
          <w:marLeft w:val="0"/>
          <w:marRight w:val="0"/>
          <w:marTop w:val="0"/>
          <w:marBottom w:val="0"/>
          <w:divBdr>
            <w:top w:val="none" w:sz="0" w:space="0" w:color="auto"/>
            <w:left w:val="none" w:sz="0" w:space="0" w:color="auto"/>
            <w:bottom w:val="none" w:sz="0" w:space="0" w:color="auto"/>
            <w:right w:val="none" w:sz="0" w:space="0" w:color="auto"/>
          </w:divBdr>
          <w:divsChild>
            <w:div w:id="923800911">
              <w:marLeft w:val="0"/>
              <w:marRight w:val="0"/>
              <w:marTop w:val="0"/>
              <w:marBottom w:val="0"/>
              <w:divBdr>
                <w:top w:val="none" w:sz="0" w:space="0" w:color="auto"/>
                <w:left w:val="none" w:sz="0" w:space="0" w:color="auto"/>
                <w:bottom w:val="none" w:sz="0" w:space="0" w:color="auto"/>
                <w:right w:val="none" w:sz="0" w:space="0" w:color="auto"/>
              </w:divBdr>
              <w:divsChild>
                <w:div w:id="1388334350">
                  <w:marLeft w:val="0"/>
                  <w:marRight w:val="0"/>
                  <w:marTop w:val="0"/>
                  <w:marBottom w:val="0"/>
                  <w:divBdr>
                    <w:top w:val="none" w:sz="0" w:space="0" w:color="auto"/>
                    <w:left w:val="none" w:sz="0" w:space="0" w:color="auto"/>
                    <w:bottom w:val="none" w:sz="0" w:space="0" w:color="auto"/>
                    <w:right w:val="none" w:sz="0" w:space="0" w:color="auto"/>
                  </w:divBdr>
                  <w:divsChild>
                    <w:div w:id="165747456">
                      <w:marLeft w:val="0"/>
                      <w:marRight w:val="0"/>
                      <w:marTop w:val="0"/>
                      <w:marBottom w:val="0"/>
                      <w:divBdr>
                        <w:top w:val="none" w:sz="0" w:space="0" w:color="auto"/>
                        <w:left w:val="none" w:sz="0" w:space="0" w:color="auto"/>
                        <w:bottom w:val="none" w:sz="0" w:space="0" w:color="auto"/>
                        <w:right w:val="none" w:sz="0" w:space="0" w:color="auto"/>
                      </w:divBdr>
                      <w:divsChild>
                        <w:div w:id="896235091">
                          <w:marLeft w:val="0"/>
                          <w:marRight w:val="0"/>
                          <w:marTop w:val="0"/>
                          <w:marBottom w:val="0"/>
                          <w:divBdr>
                            <w:top w:val="none" w:sz="0" w:space="0" w:color="auto"/>
                            <w:left w:val="none" w:sz="0" w:space="0" w:color="auto"/>
                            <w:bottom w:val="none" w:sz="0" w:space="0" w:color="auto"/>
                            <w:right w:val="none" w:sz="0" w:space="0" w:color="auto"/>
                          </w:divBdr>
                          <w:divsChild>
                            <w:div w:id="16612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6724">
      <w:bodyDiv w:val="1"/>
      <w:marLeft w:val="0"/>
      <w:marRight w:val="0"/>
      <w:marTop w:val="0"/>
      <w:marBottom w:val="0"/>
      <w:divBdr>
        <w:top w:val="none" w:sz="0" w:space="0" w:color="auto"/>
        <w:left w:val="none" w:sz="0" w:space="0" w:color="auto"/>
        <w:bottom w:val="none" w:sz="0" w:space="0" w:color="auto"/>
        <w:right w:val="none" w:sz="0" w:space="0" w:color="auto"/>
      </w:divBdr>
    </w:div>
    <w:div w:id="2013798122">
      <w:bodyDiv w:val="1"/>
      <w:marLeft w:val="0"/>
      <w:marRight w:val="0"/>
      <w:marTop w:val="0"/>
      <w:marBottom w:val="0"/>
      <w:divBdr>
        <w:top w:val="none" w:sz="0" w:space="0" w:color="auto"/>
        <w:left w:val="none" w:sz="0" w:space="0" w:color="auto"/>
        <w:bottom w:val="none" w:sz="0" w:space="0" w:color="auto"/>
        <w:right w:val="none" w:sz="0" w:space="0" w:color="auto"/>
      </w:divBdr>
      <w:divsChild>
        <w:div w:id="707874911">
          <w:marLeft w:val="0"/>
          <w:marRight w:val="0"/>
          <w:marTop w:val="0"/>
          <w:marBottom w:val="0"/>
          <w:divBdr>
            <w:top w:val="none" w:sz="0" w:space="0" w:color="auto"/>
            <w:left w:val="none" w:sz="0" w:space="0" w:color="auto"/>
            <w:bottom w:val="none" w:sz="0" w:space="0" w:color="auto"/>
            <w:right w:val="none" w:sz="0" w:space="0" w:color="auto"/>
          </w:divBdr>
          <w:divsChild>
            <w:div w:id="516384553">
              <w:marLeft w:val="0"/>
              <w:marRight w:val="0"/>
              <w:marTop w:val="0"/>
              <w:marBottom w:val="0"/>
              <w:divBdr>
                <w:top w:val="none" w:sz="0" w:space="0" w:color="auto"/>
                <w:left w:val="none" w:sz="0" w:space="0" w:color="auto"/>
                <w:bottom w:val="none" w:sz="0" w:space="0" w:color="auto"/>
                <w:right w:val="none" w:sz="0" w:space="0" w:color="auto"/>
              </w:divBdr>
              <w:divsChild>
                <w:div w:id="339935466">
                  <w:marLeft w:val="0"/>
                  <w:marRight w:val="0"/>
                  <w:marTop w:val="0"/>
                  <w:marBottom w:val="0"/>
                  <w:divBdr>
                    <w:top w:val="none" w:sz="0" w:space="0" w:color="auto"/>
                    <w:left w:val="none" w:sz="0" w:space="0" w:color="auto"/>
                    <w:bottom w:val="none" w:sz="0" w:space="0" w:color="auto"/>
                    <w:right w:val="none" w:sz="0" w:space="0" w:color="auto"/>
                  </w:divBdr>
                  <w:divsChild>
                    <w:div w:id="397822731">
                      <w:marLeft w:val="0"/>
                      <w:marRight w:val="0"/>
                      <w:marTop w:val="0"/>
                      <w:marBottom w:val="0"/>
                      <w:divBdr>
                        <w:top w:val="none" w:sz="0" w:space="0" w:color="auto"/>
                        <w:left w:val="none" w:sz="0" w:space="0" w:color="auto"/>
                        <w:bottom w:val="none" w:sz="0" w:space="0" w:color="auto"/>
                        <w:right w:val="none" w:sz="0" w:space="0" w:color="auto"/>
                      </w:divBdr>
                      <w:divsChild>
                        <w:div w:id="805585451">
                          <w:marLeft w:val="0"/>
                          <w:marRight w:val="0"/>
                          <w:marTop w:val="0"/>
                          <w:marBottom w:val="0"/>
                          <w:divBdr>
                            <w:top w:val="none" w:sz="0" w:space="0" w:color="auto"/>
                            <w:left w:val="none" w:sz="0" w:space="0" w:color="auto"/>
                            <w:bottom w:val="none" w:sz="0" w:space="0" w:color="auto"/>
                            <w:right w:val="none" w:sz="0" w:space="0" w:color="auto"/>
                          </w:divBdr>
                          <w:divsChild>
                            <w:div w:id="1235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494458">
      <w:bodyDiv w:val="1"/>
      <w:marLeft w:val="0"/>
      <w:marRight w:val="0"/>
      <w:marTop w:val="0"/>
      <w:marBottom w:val="0"/>
      <w:divBdr>
        <w:top w:val="none" w:sz="0" w:space="0" w:color="auto"/>
        <w:left w:val="none" w:sz="0" w:space="0" w:color="auto"/>
        <w:bottom w:val="none" w:sz="0" w:space="0" w:color="auto"/>
        <w:right w:val="none" w:sz="0" w:space="0" w:color="auto"/>
      </w:divBdr>
      <w:divsChild>
        <w:div w:id="173613368">
          <w:marLeft w:val="0"/>
          <w:marRight w:val="0"/>
          <w:marTop w:val="0"/>
          <w:marBottom w:val="0"/>
          <w:divBdr>
            <w:top w:val="none" w:sz="0" w:space="0" w:color="auto"/>
            <w:left w:val="none" w:sz="0" w:space="0" w:color="auto"/>
            <w:bottom w:val="none" w:sz="0" w:space="0" w:color="auto"/>
            <w:right w:val="none" w:sz="0" w:space="0" w:color="auto"/>
          </w:divBdr>
          <w:divsChild>
            <w:div w:id="24596122">
              <w:marLeft w:val="0"/>
              <w:marRight w:val="0"/>
              <w:marTop w:val="0"/>
              <w:marBottom w:val="0"/>
              <w:divBdr>
                <w:top w:val="none" w:sz="0" w:space="0" w:color="auto"/>
                <w:left w:val="none" w:sz="0" w:space="0" w:color="auto"/>
                <w:bottom w:val="none" w:sz="0" w:space="0" w:color="auto"/>
                <w:right w:val="none" w:sz="0" w:space="0" w:color="auto"/>
              </w:divBdr>
              <w:divsChild>
                <w:div w:id="1721974952">
                  <w:marLeft w:val="0"/>
                  <w:marRight w:val="0"/>
                  <w:marTop w:val="0"/>
                  <w:marBottom w:val="0"/>
                  <w:divBdr>
                    <w:top w:val="none" w:sz="0" w:space="0" w:color="auto"/>
                    <w:left w:val="none" w:sz="0" w:space="0" w:color="auto"/>
                    <w:bottom w:val="none" w:sz="0" w:space="0" w:color="auto"/>
                    <w:right w:val="none" w:sz="0" w:space="0" w:color="auto"/>
                  </w:divBdr>
                  <w:divsChild>
                    <w:div w:id="279727152">
                      <w:marLeft w:val="0"/>
                      <w:marRight w:val="0"/>
                      <w:marTop w:val="0"/>
                      <w:marBottom w:val="0"/>
                      <w:divBdr>
                        <w:top w:val="none" w:sz="0" w:space="0" w:color="auto"/>
                        <w:left w:val="none" w:sz="0" w:space="0" w:color="auto"/>
                        <w:bottom w:val="none" w:sz="0" w:space="0" w:color="auto"/>
                        <w:right w:val="none" w:sz="0" w:space="0" w:color="auto"/>
                      </w:divBdr>
                      <w:divsChild>
                        <w:div w:id="881133699">
                          <w:marLeft w:val="0"/>
                          <w:marRight w:val="0"/>
                          <w:marTop w:val="0"/>
                          <w:marBottom w:val="0"/>
                          <w:divBdr>
                            <w:top w:val="none" w:sz="0" w:space="0" w:color="auto"/>
                            <w:left w:val="none" w:sz="0" w:space="0" w:color="auto"/>
                            <w:bottom w:val="none" w:sz="0" w:space="0" w:color="auto"/>
                            <w:right w:val="none" w:sz="0" w:space="0" w:color="auto"/>
                          </w:divBdr>
                          <w:divsChild>
                            <w:div w:id="21306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A402F-F2D6-428E-9C33-7BDC79BBF8D9}">
  <ds:schemaRefs>
    <ds:schemaRef ds:uri="http://schemas.microsoft.com/sharepoint/v3/contenttype/forms"/>
  </ds:schemaRefs>
</ds:datastoreItem>
</file>

<file path=customXml/itemProps2.xml><?xml version="1.0" encoding="utf-8"?>
<ds:datastoreItem xmlns:ds="http://schemas.openxmlformats.org/officeDocument/2006/customXml" ds:itemID="{4D1648C2-7A82-49DA-B800-524483ADAB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86F7D7-6D13-48EF-ACDF-FCF0778C7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78A39B-4434-4212-A36B-BB17E2F8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8148</Words>
  <Characters>46445</Characters>
  <Application>Microsoft Office Word</Application>
  <DocSecurity>0</DocSecurity>
  <Lines>387</Lines>
  <Paragraphs>108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2017-11-06T09:34:00Z</dcterms:created>
  <dcterms:modified xsi:type="dcterms:W3CDTF">2017-11-06T09:34:00Z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2539/13</vt:lpwstr>
  </property>
  <property fmtid="{D5CDD505-2E9C-101B-9397-08002B2CF9AE}" pid="4" name="CASEID">
    <vt:lpwstr>853162</vt:lpwstr>
  </property>
  <property fmtid="{D5CDD505-2E9C-101B-9397-08002B2CF9AE}" pid="5" name="ContentTypeId">
    <vt:lpwstr>0x010100558EB02BDB9E204AB350EDD385B68E10</vt:lpwstr>
  </property>
</Properties>
</file>